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7CD0" w14:textId="77777777" w:rsidR="00755C26" w:rsidRDefault="009B23A8">
      <w:pPr>
        <w:jc w:val="center"/>
        <w:rPr>
          <w:rFonts w:ascii="Cambria" w:eastAsia="方正小标宋简体" w:hAnsi="宋体" w:cs="Times New Roman"/>
          <w:b/>
          <w:bCs/>
          <w:color w:val="FF0000"/>
          <w:spacing w:val="22"/>
          <w:w w:val="50"/>
          <w:sz w:val="112"/>
          <w:szCs w:val="112"/>
        </w:rPr>
      </w:pPr>
      <w:r>
        <w:rPr>
          <w:rFonts w:ascii="Cambria" w:eastAsia="方正小标宋简体" w:hAnsi="宋体" w:cs="Times New Roman" w:hint="eastAsia"/>
          <w:b/>
          <w:bCs/>
          <w:color w:val="FF0000"/>
          <w:spacing w:val="22"/>
          <w:w w:val="50"/>
          <w:sz w:val="112"/>
          <w:szCs w:val="112"/>
        </w:rPr>
        <w:t>“国培计划”培训简报</w:t>
      </w:r>
    </w:p>
    <w:p w14:paraId="235C18F9" w14:textId="1BDCA654" w:rsidR="00755C26" w:rsidRDefault="009B23A8">
      <w:pPr>
        <w:spacing w:beforeLines="50" w:before="158" w:afterLines="50" w:after="158"/>
        <w:jc w:val="center"/>
        <w:rPr>
          <w:rFonts w:ascii="仿宋_GB2312" w:eastAsia="仿宋_GB2312" w:hAnsi="仿宋_GB2312"/>
          <w:b/>
          <w:bCs/>
          <w:color w:val="000000"/>
          <w:sz w:val="30"/>
        </w:rPr>
      </w:pPr>
      <w:r>
        <w:rPr>
          <w:rFonts w:ascii="仿宋_GB2312" w:eastAsia="仿宋_GB2312" w:hAnsi="仿宋_GB2312" w:hint="eastAsia"/>
          <w:b/>
          <w:bCs/>
          <w:color w:val="000000"/>
          <w:sz w:val="30"/>
        </w:rPr>
        <w:t>第</w:t>
      </w:r>
      <w:r w:rsidR="002B51E8">
        <w:rPr>
          <w:rFonts w:ascii="仿宋_GB2312" w:eastAsia="仿宋_GB2312" w:hAnsi="仿宋_GB2312"/>
          <w:b/>
          <w:bCs/>
          <w:color w:val="000000"/>
          <w:sz w:val="30"/>
        </w:rPr>
        <w:t>3</w:t>
      </w:r>
      <w:r>
        <w:rPr>
          <w:rFonts w:ascii="仿宋_GB2312" w:eastAsia="仿宋_GB2312" w:hAnsi="仿宋_GB2312" w:hint="eastAsia"/>
          <w:b/>
          <w:bCs/>
          <w:color w:val="000000"/>
          <w:sz w:val="30"/>
        </w:rPr>
        <w:t>期</w:t>
      </w:r>
    </w:p>
    <w:p w14:paraId="1F36C108" w14:textId="77777777" w:rsidR="00755C26" w:rsidRDefault="009B23A8">
      <w:pPr>
        <w:jc w:val="left"/>
        <w:rPr>
          <w:rFonts w:ascii="仿宋_GB2312" w:eastAsia="仿宋_GB2312" w:hAnsi="仿宋_GB2312"/>
          <w:b/>
          <w:bCs/>
          <w:color w:val="000000"/>
          <w:spacing w:val="-11"/>
          <w:w w:val="80"/>
          <w:sz w:val="30"/>
        </w:rPr>
      </w:pPr>
      <w:r>
        <w:rPr>
          <w:rFonts w:ascii="仿宋_GB2312" w:eastAsia="仿宋_GB2312" w:hAnsi="仿宋_GB2312" w:hint="eastAsia"/>
          <w:b/>
          <w:bCs/>
          <w:color w:val="000000"/>
          <w:spacing w:val="-11"/>
          <w:w w:val="80"/>
          <w:sz w:val="30"/>
        </w:rPr>
        <w:t>家庭教育指导师培训项目</w:t>
      </w:r>
    </w:p>
    <w:p w14:paraId="129808B4" w14:textId="77777777" w:rsidR="00755C26" w:rsidRDefault="009B23A8">
      <w:pPr>
        <w:jc w:val="left"/>
        <w:rPr>
          <w:rFonts w:ascii="仿宋_GB2312" w:eastAsia="仿宋_GB2312" w:hAnsi="仿宋_GB2312"/>
          <w:b/>
          <w:bCs/>
          <w:color w:val="000000"/>
          <w:w w:val="80"/>
          <w:sz w:val="30"/>
        </w:rPr>
      </w:pPr>
      <w:r>
        <w:rPr>
          <w:rFonts w:ascii="仿宋_GB2312" w:eastAsia="仿宋_GB2312" w:hAnsi="仿宋_GB2312" w:hint="eastAsia"/>
          <w:b/>
          <w:bCs/>
          <w:color w:val="000000"/>
          <w:spacing w:val="-11"/>
          <w:w w:val="80"/>
          <w:sz w:val="30"/>
        </w:rPr>
        <w:t>平顶山学院班</w:t>
      </w:r>
      <w:r>
        <w:rPr>
          <w:rFonts w:ascii="仿宋_GB2312" w:eastAsia="仿宋_GB2312" w:hAnsi="仿宋_GB2312" w:hint="eastAsia"/>
          <w:b/>
          <w:bCs/>
          <w:color w:val="000000"/>
          <w:spacing w:val="-11"/>
          <w:w w:val="80"/>
          <w:sz w:val="30"/>
        </w:rPr>
        <w:t xml:space="preserve">                                    </w:t>
      </w:r>
      <w:r>
        <w:rPr>
          <w:rFonts w:ascii="仿宋_GB2312" w:eastAsia="仿宋_GB2312" w:hAnsi="仿宋_GB2312" w:hint="eastAsia"/>
          <w:b/>
          <w:bCs/>
          <w:color w:val="000000"/>
          <w:w w:val="90"/>
          <w:sz w:val="30"/>
        </w:rPr>
        <w:t xml:space="preserve">          </w:t>
      </w:r>
      <w:r>
        <w:rPr>
          <w:rFonts w:ascii="仿宋_GB2312" w:eastAsia="仿宋_GB2312" w:hAnsi="仿宋_GB2312" w:hint="eastAsia"/>
          <w:b/>
          <w:bCs/>
          <w:color w:val="000000"/>
          <w:w w:val="80"/>
          <w:sz w:val="30"/>
        </w:rPr>
        <w:t>201</w:t>
      </w:r>
      <w:r>
        <w:rPr>
          <w:rFonts w:ascii="仿宋_GB2312" w:eastAsia="仿宋_GB2312" w:hAnsi="仿宋_GB2312"/>
          <w:b/>
          <w:bCs/>
          <w:color w:val="000000"/>
          <w:w w:val="80"/>
          <w:sz w:val="30"/>
        </w:rPr>
        <w:t>9</w:t>
      </w:r>
      <w:r>
        <w:rPr>
          <w:rFonts w:ascii="仿宋_GB2312" w:eastAsia="仿宋_GB2312" w:hAnsi="仿宋_GB2312" w:hint="eastAsia"/>
          <w:b/>
          <w:bCs/>
          <w:color w:val="000000"/>
          <w:w w:val="80"/>
          <w:sz w:val="30"/>
        </w:rPr>
        <w:t>年</w:t>
      </w:r>
      <w:r>
        <w:rPr>
          <w:rFonts w:ascii="仿宋_GB2312" w:eastAsia="仿宋_GB2312" w:hAnsi="仿宋_GB2312" w:hint="eastAsia"/>
          <w:b/>
          <w:bCs/>
          <w:color w:val="000000"/>
          <w:w w:val="80"/>
          <w:sz w:val="30"/>
        </w:rPr>
        <w:t>1</w:t>
      </w:r>
      <w:r>
        <w:rPr>
          <w:rFonts w:ascii="仿宋_GB2312" w:eastAsia="仿宋_GB2312" w:hAnsi="仿宋_GB2312"/>
          <w:b/>
          <w:bCs/>
          <w:color w:val="000000"/>
          <w:w w:val="80"/>
          <w:sz w:val="30"/>
        </w:rPr>
        <w:t>0</w:t>
      </w:r>
      <w:r>
        <w:rPr>
          <w:rFonts w:ascii="仿宋_GB2312" w:eastAsia="仿宋_GB2312" w:hAnsi="仿宋_GB2312" w:hint="eastAsia"/>
          <w:b/>
          <w:bCs/>
          <w:color w:val="000000"/>
          <w:w w:val="80"/>
          <w:sz w:val="30"/>
        </w:rPr>
        <w:t>月</w:t>
      </w:r>
      <w:r>
        <w:rPr>
          <w:rFonts w:ascii="仿宋_GB2312" w:eastAsia="仿宋_GB2312" w:hAnsi="仿宋_GB2312"/>
          <w:b/>
          <w:bCs/>
          <w:color w:val="000000"/>
          <w:w w:val="80"/>
          <w:sz w:val="30"/>
        </w:rPr>
        <w:t>17</w:t>
      </w:r>
      <w:r>
        <w:rPr>
          <w:rFonts w:ascii="仿宋_GB2312" w:eastAsia="仿宋_GB2312" w:hAnsi="仿宋_GB2312" w:hint="eastAsia"/>
          <w:b/>
          <w:bCs/>
          <w:color w:val="000000"/>
          <w:w w:val="80"/>
          <w:sz w:val="30"/>
        </w:rPr>
        <w:t>日</w:t>
      </w:r>
    </w:p>
    <w:p w14:paraId="6D92AF17" w14:textId="77777777" w:rsidR="00755C26" w:rsidRDefault="009B23A8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bCs/>
          <w:sz w:val="36"/>
          <w:szCs w:val="36"/>
        </w:rPr>
        <w:pict w14:anchorId="4DEE537C">
          <v:line id="1026" o:spid="_x0000_s1026" style="position:absolute;z-index:1024;mso-position-horizontal-relative:page;mso-position-vertical-relative:page;mso-width-relative:page;mso-height-relative:page" from="72.9pt,293.85pt" to="560.95pt,294.05pt" strokecolor="red" strokeweight="1.42pt">
            <w10:wrap anchorx="page" anchory="page"/>
          </v:line>
        </w:pict>
      </w:r>
    </w:p>
    <w:p w14:paraId="2F53ED0F" w14:textId="77777777" w:rsidR="00755C26" w:rsidRDefault="009B23A8">
      <w:r>
        <w:rPr>
          <w:rFonts w:hint="eastAsia"/>
          <w:sz w:val="24"/>
        </w:rPr>
        <w:t xml:space="preserve"> </w:t>
      </w:r>
    </w:p>
    <w:p w14:paraId="41BA1AE9" w14:textId="77777777" w:rsidR="00755C26" w:rsidRDefault="009B23A8">
      <w:pPr>
        <w:ind w:firstLineChars="100" w:firstLine="281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“国培计划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”幼师国培</w:t>
      </w:r>
    </w:p>
    <w:p w14:paraId="1BA73AE8" w14:textId="77777777" w:rsidR="00755C26" w:rsidRDefault="00755C26">
      <w:pPr>
        <w:ind w:firstLineChars="100" w:firstLine="281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98B9D16" w14:textId="77777777" w:rsidR="00755C26" w:rsidRDefault="009B23A8" w:rsidP="002B51E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日上午，我们有幸邀请到湖光幼儿园王立新园长作题为《家园共育中的家教指导》主题报告。</w:t>
      </w:r>
    </w:p>
    <w:p w14:paraId="7C1647C7" w14:textId="77777777" w:rsidR="00755C26" w:rsidRDefault="009B23A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4B059E21" wp14:editId="319028E9">
            <wp:extent cx="5123815" cy="3550285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909" cy="355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A7FB" w14:textId="77777777" w:rsidR="00755C26" w:rsidRDefault="00755C2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F5550C7" w14:textId="77777777" w:rsidR="00755C26" w:rsidRDefault="009B23A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王园长分别从家园共育和家庭教育与指导两部分进行讲解。此外，对家园共育存在问题与状况的原因进行分析：部分家长和老师缺少默契；家长和教师在教育问题上发生分歧；家长不知如何与教师建立良好的交流。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14:paraId="7708C139" w14:textId="77777777" w:rsidR="00755C26" w:rsidRDefault="009B23A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在讲解过程中，王园长不时以幼儿园实践案例为切入点，生动形象的分析引得学员们激烈的讨论。</w:t>
      </w:r>
    </w:p>
    <w:p w14:paraId="25E9AD3B" w14:textId="77777777" w:rsidR="00755C26" w:rsidRDefault="00755C2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10A77E4A" w14:textId="77777777" w:rsidR="00755C26" w:rsidRDefault="009B23A8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027E5315" wp14:editId="4345F757">
            <wp:extent cx="5375910" cy="3213735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6320" cy="32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485CC" w14:textId="77777777" w:rsidR="00755C26" w:rsidRDefault="009B23A8">
      <w:pPr>
        <w:widowControl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</w:t>
      </w:r>
    </w:p>
    <w:p w14:paraId="36AD9D54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在报告的后半部分，关于与家长谈话及沟通技巧，王园长向学员们分享了发生在朋友身边的事情，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通俗易懂又十分接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地气儿的话语使报告氛围十分轻松愉快。对于与家长沟通技巧这一问题王园长提出了渐进式的谈话方式：充分肯定幼儿的长处；善于听取家长的倾诉；巧进逆耳之言，结合自身经历，学员们纷纷发言。</w:t>
      </w:r>
    </w:p>
    <w:p w14:paraId="3D797E86" w14:textId="77777777" w:rsidR="00755C26" w:rsidRDefault="00755C26">
      <w:pPr>
        <w:widowControl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</w:p>
    <w:p w14:paraId="78F7C0CE" w14:textId="77777777" w:rsidR="00755C26" w:rsidRDefault="00755C26">
      <w:pPr>
        <w:widowControl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</w:p>
    <w:p w14:paraId="53AC8EC7" w14:textId="77777777" w:rsidR="00755C26" w:rsidRDefault="009B23A8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6E2E8C9D" wp14:editId="0AD542DF">
            <wp:extent cx="5270500" cy="341757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016" cy="341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E5085" w14:textId="77777777" w:rsidR="00755C26" w:rsidRDefault="00755C26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5A93CB31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下午我们邀请到了郑州师范学院教育科学学院院长陈国维教授。陈教授这次的报告主要从幼儿安全以及教学质量两个层面进行讲解，从教师依法执教的含义及标准、幼儿意外伤害界定及类型、幼儿安全事故的处理与预防这三个主要内容展开论述。首先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陈教授带领学员们解读了《关于全面深化新时代教师队伍的建设改革的意见》、《新时代幼儿园教师职业行为的十项准则》等文件。</w:t>
      </w:r>
    </w:p>
    <w:p w14:paraId="72E6FE93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0" distR="0" wp14:anchorId="327324C7" wp14:editId="0656AFE0">
            <wp:extent cx="4839335" cy="3357245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399" cy="335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3D33" w14:textId="77777777" w:rsidR="00755C26" w:rsidRDefault="00755C26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6A55814D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在讲述过程中，陈教授适时地穿插一些案例，向学员们仔细分析案例中涉及中的问题以及应该采取的措施。</w:t>
      </w:r>
    </w:p>
    <w:p w14:paraId="6D4E5484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此外，陈教授还对学生伤害事故处理程序或途径、幼儿园安全管理的预防体系进行讲解。学员们就发生在实际生活中的事例与陈教授积极互动。</w:t>
      </w:r>
    </w:p>
    <w:p w14:paraId="710D3B38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晚上七点国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培计划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平顶山学院——家庭教育指导师培训联欢晚会在全体学员的欢呼中开始了。</w:t>
      </w:r>
    </w:p>
    <w:p w14:paraId="23A5C982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虽然只有短短几天的排练时间，学员们也准备了精彩的节目。</w:t>
      </w:r>
    </w:p>
    <w:p w14:paraId="2A3044F0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0" distR="0" wp14:anchorId="46A5E616" wp14:editId="6578BF4B">
            <wp:extent cx="4895850" cy="3517900"/>
            <wp:effectExtent l="0" t="0" r="0" b="0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241" cy="351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17452" w14:textId="77777777" w:rsidR="00755C26" w:rsidRDefault="00755C2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36682C0E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独唱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《风吹麦浪》</w:t>
      </w:r>
    </w:p>
    <w:p w14:paraId="556EECC0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44F9043" wp14:editId="5B5E4962">
            <wp:extent cx="4893310" cy="3011170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847" cy="301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D6F86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舞蹈</w:t>
      </w:r>
      <w:r>
        <w:rPr>
          <w:rFonts w:ascii="仿宋" w:eastAsia="仿宋" w:hAnsi="仿宋" w:cs="仿宋" w:hint="eastAsia"/>
          <w:sz w:val="28"/>
          <w:szCs w:val="28"/>
        </w:rPr>
        <w:t>: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唐汉风韵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。参加学员表示服装还是从学校统一邮寄过来的。</w:t>
      </w:r>
    </w:p>
    <w:p w14:paraId="362C1F21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0" distR="0" wp14:anchorId="4B3215C8" wp14:editId="5B7A8A0C">
            <wp:extent cx="5187315" cy="356997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7451" cy="35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2F859" w14:textId="77777777" w:rsidR="00755C26" w:rsidRDefault="009B23A8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许君园长《我自豪，我是一名幼儿教师。》也获得了学员们的热烈掌声。简单明了的语言包含了深深的情感：对幼儿、对幼儿教师工作的热爱。在欢声笑语中，学员们结束了这天的学习，收获满满，快乐满满。</w:t>
      </w:r>
    </w:p>
    <w:sectPr w:rsidR="00755C26">
      <w:headerReference w:type="even" r:id="rId15"/>
      <w:headerReference w:type="default" r:id="rId16"/>
      <w:footerReference w:type="default" r:id="rId17"/>
      <w:type w:val="continuous"/>
      <w:pgSz w:w="11906" w:h="16838"/>
      <w:pgMar w:top="1440" w:right="1800" w:bottom="1440" w:left="180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E9336" w14:textId="77777777" w:rsidR="009B23A8" w:rsidRDefault="009B23A8">
      <w:r>
        <w:separator/>
      </w:r>
    </w:p>
  </w:endnote>
  <w:endnote w:type="continuationSeparator" w:id="0">
    <w:p w14:paraId="08B56602" w14:textId="77777777" w:rsidR="009B23A8" w:rsidRDefault="009B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1078" w14:textId="77777777" w:rsidR="00755C26" w:rsidRDefault="009B23A8">
    <w:pPr>
      <w:jc w:val="center"/>
    </w:pPr>
    <w:r>
      <w:pict w14:anchorId="2E648A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222EF06" w14:textId="77777777" w:rsidR="00755C26" w:rsidRDefault="009B23A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593D1" w14:textId="77777777" w:rsidR="009B23A8" w:rsidRDefault="009B23A8">
      <w:r>
        <w:separator/>
      </w:r>
    </w:p>
  </w:footnote>
  <w:footnote w:type="continuationSeparator" w:id="0">
    <w:p w14:paraId="3AF36646" w14:textId="77777777" w:rsidR="009B23A8" w:rsidRDefault="009B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DD11" w14:textId="77777777" w:rsidR="00755C26" w:rsidRDefault="00755C2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68AFF" w14:textId="77777777" w:rsidR="00755C26" w:rsidRDefault="00755C2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317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C26"/>
    <w:rsid w:val="002B51E8"/>
    <w:rsid w:val="00755C26"/>
    <w:rsid w:val="009B23A8"/>
    <w:rsid w:val="05C02F4F"/>
    <w:rsid w:val="5CB4768A"/>
    <w:rsid w:val="60A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12E80015"/>
  <w15:docId w15:val="{922CC438-3FFF-45EC-B925-FC42161A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Calibri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04E00-A911-48B6-92CA-AF4A5E9B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44</cp:revision>
  <cp:lastPrinted>2018-11-05T15:54:00Z</cp:lastPrinted>
  <dcterms:created xsi:type="dcterms:W3CDTF">2018-11-08T02:42:00Z</dcterms:created>
  <dcterms:modified xsi:type="dcterms:W3CDTF">2019-12-10T05:01:00Z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