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46568" w14:textId="77777777" w:rsidR="004A0F9D" w:rsidRDefault="002340D6">
      <w:pPr>
        <w:jc w:val="center"/>
        <w:rPr>
          <w:rFonts w:ascii="Cambria" w:eastAsia="方正小标宋简体" w:hAnsi="宋体" w:cs="Times New Roman"/>
          <w:b/>
          <w:bCs/>
          <w:color w:val="FF0000"/>
          <w:spacing w:val="22"/>
          <w:w w:val="50"/>
          <w:sz w:val="112"/>
          <w:szCs w:val="112"/>
        </w:rPr>
      </w:pPr>
      <w:r>
        <w:rPr>
          <w:rFonts w:ascii="Cambria" w:eastAsia="方正小标宋简体" w:hAnsi="宋体" w:cs="Times New Roman" w:hint="eastAsia"/>
          <w:b/>
          <w:bCs/>
          <w:color w:val="FF0000"/>
          <w:spacing w:val="22"/>
          <w:w w:val="50"/>
          <w:sz w:val="112"/>
          <w:szCs w:val="112"/>
        </w:rPr>
        <w:t>“国培计划”培训简报</w:t>
      </w:r>
    </w:p>
    <w:p w14:paraId="15531250" w14:textId="18A554C1" w:rsidR="004A0F9D" w:rsidRDefault="002340D6">
      <w:pPr>
        <w:spacing w:beforeLines="50" w:before="158" w:afterLines="50" w:after="158"/>
        <w:jc w:val="center"/>
        <w:rPr>
          <w:rFonts w:ascii="仿宋_GB2312" w:eastAsia="仿宋_GB2312" w:hAnsi="仿宋_GB2312"/>
          <w:b/>
          <w:bCs/>
          <w:color w:val="000000"/>
          <w:sz w:val="30"/>
        </w:rPr>
      </w:pPr>
      <w:r>
        <w:rPr>
          <w:rFonts w:ascii="仿宋_GB2312" w:eastAsia="仿宋_GB2312" w:hAnsi="仿宋_GB2312" w:hint="eastAsia"/>
          <w:b/>
          <w:bCs/>
          <w:color w:val="000000"/>
          <w:sz w:val="30"/>
        </w:rPr>
        <w:t>第</w:t>
      </w:r>
      <w:r w:rsidR="001E2871">
        <w:rPr>
          <w:rFonts w:eastAsia="仿宋_GB2312" w:hAnsi="仿宋_GB2312"/>
          <w:b/>
          <w:bCs/>
          <w:color w:val="000000"/>
          <w:sz w:val="30"/>
        </w:rPr>
        <w:t>4</w:t>
      </w:r>
      <w:bookmarkStart w:id="0" w:name="_GoBack"/>
      <w:bookmarkEnd w:id="0"/>
      <w:r>
        <w:rPr>
          <w:rFonts w:ascii="仿宋_GB2312" w:eastAsia="仿宋_GB2312" w:hAnsi="仿宋_GB2312" w:hint="eastAsia"/>
          <w:b/>
          <w:bCs/>
          <w:color w:val="000000"/>
          <w:sz w:val="30"/>
        </w:rPr>
        <w:t>期</w:t>
      </w:r>
    </w:p>
    <w:p w14:paraId="2EF23E23" w14:textId="77777777" w:rsidR="004A0F9D" w:rsidRDefault="002340D6">
      <w:pPr>
        <w:jc w:val="left"/>
        <w:rPr>
          <w:rFonts w:ascii="仿宋_GB2312" w:eastAsia="仿宋_GB2312" w:hAnsi="仿宋_GB2312"/>
          <w:b/>
          <w:bCs/>
          <w:color w:val="000000"/>
          <w:spacing w:val="-11"/>
          <w:w w:val="80"/>
          <w:sz w:val="30"/>
        </w:rPr>
      </w:pPr>
      <w:r>
        <w:rPr>
          <w:rFonts w:ascii="仿宋_GB2312" w:eastAsia="仿宋_GB2312" w:hAnsi="仿宋_GB2312" w:hint="eastAsia"/>
          <w:b/>
          <w:bCs/>
          <w:color w:val="000000"/>
          <w:spacing w:val="-11"/>
          <w:w w:val="80"/>
          <w:sz w:val="30"/>
        </w:rPr>
        <w:t>家庭教育指导师培训项目</w:t>
      </w:r>
    </w:p>
    <w:p w14:paraId="1E468B99" w14:textId="77777777" w:rsidR="004A0F9D" w:rsidRDefault="002340D6">
      <w:pPr>
        <w:jc w:val="left"/>
        <w:rPr>
          <w:rFonts w:ascii="仿宋_GB2312" w:eastAsia="仿宋_GB2312" w:hAnsi="仿宋_GB2312"/>
          <w:b/>
          <w:bCs/>
          <w:color w:val="000000"/>
          <w:w w:val="80"/>
          <w:sz w:val="30"/>
        </w:rPr>
      </w:pPr>
      <w:r>
        <w:rPr>
          <w:rFonts w:ascii="仿宋_GB2312" w:eastAsia="仿宋_GB2312" w:hAnsi="仿宋_GB2312" w:hint="eastAsia"/>
          <w:b/>
          <w:bCs/>
          <w:color w:val="000000"/>
          <w:spacing w:val="-11"/>
          <w:w w:val="80"/>
          <w:sz w:val="30"/>
        </w:rPr>
        <w:t>平顶山学院班</w:t>
      </w:r>
      <w:r>
        <w:rPr>
          <w:rFonts w:ascii="仿宋_GB2312" w:eastAsia="仿宋_GB2312" w:hAnsi="仿宋_GB2312" w:hint="eastAsia"/>
          <w:b/>
          <w:bCs/>
          <w:color w:val="000000"/>
          <w:spacing w:val="-11"/>
          <w:w w:val="80"/>
          <w:sz w:val="30"/>
        </w:rPr>
        <w:t xml:space="preserve">                                    </w:t>
      </w:r>
      <w:r>
        <w:rPr>
          <w:rFonts w:ascii="仿宋_GB2312" w:eastAsia="仿宋_GB2312" w:hAnsi="仿宋_GB2312" w:hint="eastAsia"/>
          <w:b/>
          <w:bCs/>
          <w:color w:val="000000"/>
          <w:w w:val="90"/>
          <w:sz w:val="30"/>
        </w:rPr>
        <w:t xml:space="preserve">          </w:t>
      </w:r>
      <w:r>
        <w:rPr>
          <w:rFonts w:ascii="仿宋_GB2312" w:eastAsia="仿宋_GB2312" w:hAnsi="仿宋_GB2312" w:hint="eastAsia"/>
          <w:b/>
          <w:bCs/>
          <w:color w:val="000000"/>
          <w:w w:val="80"/>
          <w:sz w:val="30"/>
        </w:rPr>
        <w:t>201</w:t>
      </w:r>
      <w:r>
        <w:rPr>
          <w:rFonts w:ascii="仿宋_GB2312" w:eastAsia="仿宋_GB2312" w:hAnsi="仿宋_GB2312"/>
          <w:b/>
          <w:bCs/>
          <w:color w:val="000000"/>
          <w:w w:val="80"/>
          <w:sz w:val="30"/>
        </w:rPr>
        <w:t>9</w:t>
      </w:r>
      <w:r>
        <w:rPr>
          <w:rFonts w:ascii="仿宋_GB2312" w:eastAsia="仿宋_GB2312" w:hAnsi="仿宋_GB2312" w:hint="eastAsia"/>
          <w:b/>
          <w:bCs/>
          <w:color w:val="000000"/>
          <w:w w:val="80"/>
          <w:sz w:val="30"/>
        </w:rPr>
        <w:t>年</w:t>
      </w:r>
      <w:r>
        <w:rPr>
          <w:rFonts w:ascii="仿宋_GB2312" w:eastAsia="仿宋_GB2312" w:hAnsi="仿宋_GB2312" w:hint="eastAsia"/>
          <w:b/>
          <w:bCs/>
          <w:color w:val="000000"/>
          <w:w w:val="80"/>
          <w:sz w:val="30"/>
        </w:rPr>
        <w:t>1</w:t>
      </w:r>
      <w:r>
        <w:rPr>
          <w:rFonts w:ascii="仿宋_GB2312" w:eastAsia="仿宋_GB2312" w:hAnsi="仿宋_GB2312"/>
          <w:b/>
          <w:bCs/>
          <w:color w:val="000000"/>
          <w:w w:val="80"/>
          <w:sz w:val="30"/>
        </w:rPr>
        <w:t>0</w:t>
      </w:r>
      <w:r>
        <w:rPr>
          <w:rFonts w:ascii="仿宋_GB2312" w:eastAsia="仿宋_GB2312" w:hAnsi="仿宋_GB2312" w:hint="eastAsia"/>
          <w:b/>
          <w:bCs/>
          <w:color w:val="000000"/>
          <w:w w:val="80"/>
          <w:sz w:val="30"/>
        </w:rPr>
        <w:t>月</w:t>
      </w:r>
      <w:r>
        <w:rPr>
          <w:rFonts w:ascii="仿宋_GB2312" w:eastAsia="仿宋_GB2312" w:hAnsi="仿宋_GB2312"/>
          <w:b/>
          <w:bCs/>
          <w:color w:val="000000"/>
          <w:w w:val="80"/>
          <w:sz w:val="30"/>
        </w:rPr>
        <w:t>21</w:t>
      </w:r>
      <w:r>
        <w:rPr>
          <w:rFonts w:ascii="仿宋_GB2312" w:eastAsia="仿宋_GB2312" w:hAnsi="仿宋_GB2312" w:hint="eastAsia"/>
          <w:b/>
          <w:bCs/>
          <w:color w:val="000000"/>
          <w:w w:val="80"/>
          <w:sz w:val="30"/>
        </w:rPr>
        <w:t>日</w:t>
      </w:r>
    </w:p>
    <w:p w14:paraId="13663FFB" w14:textId="77777777" w:rsidR="004A0F9D" w:rsidRDefault="002340D6">
      <w:pPr>
        <w:jc w:val="left"/>
        <w:rPr>
          <w:rFonts w:ascii="宋体" w:hAnsi="宋体"/>
          <w:sz w:val="28"/>
          <w:szCs w:val="28"/>
        </w:rPr>
      </w:pPr>
      <w:r>
        <w:rPr>
          <w:rFonts w:ascii="宋体" w:hAnsi="宋体"/>
          <w:b/>
          <w:bCs/>
          <w:sz w:val="36"/>
          <w:szCs w:val="36"/>
        </w:rPr>
        <w:pict w14:anchorId="1623BBD8">
          <v:line id="1026" o:spid="_x0000_s1026" style="position:absolute;z-index:1024;mso-position-horizontal-relative:page;mso-position-vertical-relative:page;mso-width-relative:page;mso-height-relative:page" from="72.9pt,293.85pt" to="560.95pt,294.05pt" strokecolor="red" strokeweight="1.42pt">
            <w10:wrap anchorx="page" anchory="page"/>
          </v:line>
        </w:pict>
      </w:r>
    </w:p>
    <w:p w14:paraId="54B13A07" w14:textId="77777777" w:rsidR="004A0F9D" w:rsidRDefault="002340D6">
      <w:r>
        <w:rPr>
          <w:rFonts w:hint="eastAsia"/>
          <w:sz w:val="24"/>
        </w:rPr>
        <w:t xml:space="preserve"> </w:t>
      </w:r>
    </w:p>
    <w:p w14:paraId="2E0C0113" w14:textId="77777777" w:rsidR="004A0F9D" w:rsidRDefault="002340D6">
      <w:pPr>
        <w:ind w:firstLineChars="100" w:firstLine="281"/>
        <w:jc w:val="center"/>
        <w:rPr>
          <w:rFonts w:ascii="仿宋" w:eastAsia="仿宋" w:hAnsi="仿宋" w:cs="仿宋"/>
          <w:b/>
          <w:bCs/>
          <w:sz w:val="28"/>
          <w:szCs w:val="28"/>
        </w:rPr>
      </w:pPr>
      <w:r>
        <w:rPr>
          <w:rFonts w:ascii="仿宋" w:eastAsia="仿宋" w:hAnsi="仿宋" w:cs="仿宋" w:hint="eastAsia"/>
          <w:b/>
          <w:bCs/>
          <w:sz w:val="28"/>
          <w:szCs w:val="28"/>
        </w:rPr>
        <w:t>“国培计划</w:t>
      </w:r>
      <w:r>
        <w:rPr>
          <w:rFonts w:ascii="仿宋" w:eastAsia="仿宋" w:hAnsi="仿宋" w:cs="仿宋" w:hint="eastAsia"/>
          <w:b/>
          <w:bCs/>
          <w:sz w:val="28"/>
          <w:szCs w:val="28"/>
        </w:rPr>
        <w:t>201</w:t>
      </w:r>
      <w:r>
        <w:rPr>
          <w:rFonts w:ascii="仿宋" w:eastAsia="仿宋" w:hAnsi="仿宋" w:cs="仿宋"/>
          <w:b/>
          <w:bCs/>
          <w:sz w:val="28"/>
          <w:szCs w:val="28"/>
        </w:rPr>
        <w:t>9</w:t>
      </w:r>
      <w:r>
        <w:rPr>
          <w:rFonts w:ascii="仿宋" w:eastAsia="仿宋" w:hAnsi="仿宋" w:cs="仿宋" w:hint="eastAsia"/>
          <w:b/>
          <w:bCs/>
          <w:sz w:val="28"/>
          <w:szCs w:val="28"/>
        </w:rPr>
        <w:t>”幼师国培</w:t>
      </w:r>
    </w:p>
    <w:p w14:paraId="1D920A46" w14:textId="77777777" w:rsidR="004A0F9D" w:rsidRDefault="004A0F9D">
      <w:pPr>
        <w:ind w:firstLineChars="100" w:firstLine="281"/>
        <w:jc w:val="center"/>
        <w:rPr>
          <w:rFonts w:ascii="仿宋" w:eastAsia="仿宋" w:hAnsi="仿宋" w:cs="仿宋"/>
          <w:b/>
          <w:bCs/>
          <w:sz w:val="28"/>
          <w:szCs w:val="28"/>
        </w:rPr>
      </w:pPr>
    </w:p>
    <w:p w14:paraId="06A0E724" w14:textId="77777777" w:rsidR="004A0F9D" w:rsidRDefault="002340D6">
      <w:pPr>
        <w:widowControl/>
        <w:ind w:firstLineChars="200" w:firstLine="560"/>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10</w:t>
      </w:r>
      <w:r>
        <w:rPr>
          <w:rFonts w:ascii="仿宋" w:eastAsia="仿宋" w:hAnsi="仿宋" w:cs="仿宋" w:hint="eastAsia"/>
          <w:color w:val="000000"/>
          <w:kern w:val="0"/>
          <w:sz w:val="28"/>
          <w:szCs w:val="28"/>
          <w:shd w:val="clear" w:color="auto" w:fill="FFFFFF"/>
        </w:rPr>
        <w:t>月</w:t>
      </w:r>
      <w:r>
        <w:rPr>
          <w:rFonts w:ascii="仿宋" w:eastAsia="仿宋" w:hAnsi="仿宋" w:cs="仿宋" w:hint="eastAsia"/>
          <w:color w:val="000000"/>
          <w:kern w:val="0"/>
          <w:sz w:val="28"/>
          <w:szCs w:val="28"/>
          <w:shd w:val="clear" w:color="auto" w:fill="FFFFFF"/>
        </w:rPr>
        <w:t>21</w:t>
      </w:r>
      <w:r>
        <w:rPr>
          <w:rFonts w:ascii="仿宋" w:eastAsia="仿宋" w:hAnsi="仿宋" w:cs="仿宋" w:hint="eastAsia"/>
          <w:color w:val="000000"/>
          <w:kern w:val="0"/>
          <w:sz w:val="28"/>
          <w:szCs w:val="28"/>
          <w:shd w:val="clear" w:color="auto" w:fill="FFFFFF"/>
        </w:rPr>
        <w:t>日上午八点二十，国培计划</w:t>
      </w:r>
      <w:r>
        <w:rPr>
          <w:rFonts w:ascii="仿宋" w:eastAsia="仿宋" w:hAnsi="仿宋" w:cs="仿宋" w:hint="eastAsia"/>
          <w:color w:val="000000"/>
          <w:kern w:val="0"/>
          <w:sz w:val="28"/>
          <w:szCs w:val="28"/>
          <w:shd w:val="clear" w:color="auto" w:fill="FFFFFF"/>
        </w:rPr>
        <w:t>2019</w:t>
      </w:r>
      <w:r>
        <w:rPr>
          <w:rFonts w:ascii="仿宋" w:eastAsia="仿宋" w:hAnsi="仿宋" w:cs="仿宋" w:hint="eastAsia"/>
          <w:color w:val="000000"/>
          <w:kern w:val="0"/>
          <w:sz w:val="28"/>
          <w:szCs w:val="28"/>
          <w:shd w:val="clear" w:color="auto" w:fill="FFFFFF"/>
        </w:rPr>
        <w:t>平顶山学院班家庭教育指导师培训项目开班典礼正式开始。</w:t>
      </w:r>
    </w:p>
    <w:p w14:paraId="65CFFD08" w14:textId="77777777" w:rsidR="004A0F9D" w:rsidRDefault="002340D6">
      <w:pPr>
        <w:widowControl/>
        <w:ind w:leftChars="266" w:left="3919" w:hangingChars="1200" w:hanging="3360"/>
        <w:jc w:val="left"/>
        <w:rPr>
          <w:rFonts w:ascii="仿宋" w:eastAsia="仿宋" w:hAnsi="仿宋" w:cs="仿宋"/>
          <w:sz w:val="28"/>
          <w:szCs w:val="28"/>
        </w:rPr>
      </w:pPr>
      <w:r>
        <w:rPr>
          <w:rFonts w:ascii="仿宋" w:eastAsia="仿宋" w:hAnsi="仿宋" w:cs="仿宋" w:hint="eastAsia"/>
          <w:noProof/>
          <w:sz w:val="28"/>
          <w:szCs w:val="28"/>
        </w:rPr>
        <w:drawing>
          <wp:inline distT="0" distB="0" distL="0" distR="0" wp14:anchorId="73E9F867" wp14:editId="71EB72B2">
            <wp:extent cx="4811395" cy="3380740"/>
            <wp:effectExtent l="0" t="0" r="0" b="0"/>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8" cstate="print"/>
                    <a:srcRect/>
                    <a:stretch>
                      <a:fillRect/>
                    </a:stretch>
                  </pic:blipFill>
                  <pic:spPr>
                    <a:xfrm>
                      <a:off x="0" y="0"/>
                      <a:ext cx="4812025" cy="3380979"/>
                    </a:xfrm>
                    <a:prstGeom prst="rect">
                      <a:avLst/>
                    </a:prstGeom>
                  </pic:spPr>
                </pic:pic>
              </a:graphicData>
            </a:graphic>
          </wp:inline>
        </w:drawing>
      </w:r>
      <w:r>
        <w:rPr>
          <w:rFonts w:ascii="仿宋" w:eastAsia="仿宋" w:hAnsi="仿宋" w:cs="仿宋" w:hint="eastAsia"/>
          <w:sz w:val="28"/>
          <w:szCs w:val="28"/>
        </w:rPr>
        <w:t xml:space="preserve"> </w:t>
      </w:r>
    </w:p>
    <w:p w14:paraId="772B1B82" w14:textId="77777777" w:rsidR="004A0F9D" w:rsidRDefault="002340D6">
      <w:pPr>
        <w:widowControl/>
        <w:ind w:firstLineChars="200" w:firstLine="560"/>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参加开班典礼的领导有李宏亭院长、闫江涛院长、赵红利副院长。</w:t>
      </w:r>
      <w:r>
        <w:rPr>
          <w:rFonts w:ascii="仿宋" w:eastAsia="仿宋" w:hAnsi="仿宋" w:cs="仿宋" w:hint="eastAsia"/>
          <w:color w:val="000000"/>
          <w:kern w:val="0"/>
          <w:sz w:val="28"/>
          <w:szCs w:val="28"/>
          <w:shd w:val="clear" w:color="auto" w:fill="FFFFFF"/>
        </w:rPr>
        <w:t xml:space="preserve">   </w:t>
      </w:r>
      <w:r>
        <w:rPr>
          <w:rFonts w:ascii="仿宋" w:eastAsia="仿宋" w:hAnsi="仿宋" w:cs="仿宋" w:hint="eastAsia"/>
          <w:color w:val="000000"/>
          <w:kern w:val="0"/>
          <w:sz w:val="28"/>
          <w:szCs w:val="28"/>
          <w:shd w:val="clear" w:color="auto" w:fill="FFFFFF"/>
        </w:rPr>
        <w:t>开班仪式在奏国歌、宣誓词，学员代表发言中，有条不紊地进行着。</w:t>
      </w:r>
    </w:p>
    <w:p w14:paraId="4BCB30E1" w14:textId="77777777" w:rsidR="004A0F9D" w:rsidRDefault="002340D6">
      <w:pPr>
        <w:widowControl/>
        <w:ind w:firstLineChars="200" w:firstLine="560"/>
        <w:jc w:val="left"/>
        <w:rPr>
          <w:rFonts w:ascii="仿宋" w:eastAsia="仿宋" w:hAnsi="仿宋" w:cs="仿宋"/>
          <w:sz w:val="28"/>
          <w:szCs w:val="28"/>
        </w:rPr>
      </w:pPr>
      <w:r>
        <w:rPr>
          <w:rFonts w:ascii="仿宋" w:eastAsia="仿宋" w:hAnsi="仿宋" w:cs="仿宋" w:hint="eastAsia"/>
          <w:noProof/>
          <w:sz w:val="28"/>
          <w:szCs w:val="28"/>
        </w:rPr>
        <w:lastRenderedPageBreak/>
        <w:drawing>
          <wp:inline distT="0" distB="0" distL="0" distR="0" wp14:anchorId="709BFCA4" wp14:editId="2B3801A9">
            <wp:extent cx="4870450" cy="3088640"/>
            <wp:effectExtent l="0" t="0" r="0" b="0"/>
            <wp:docPr id="1028" name="Image1"/>
            <wp:cNvGraphicFramePr/>
            <a:graphic xmlns:a="http://schemas.openxmlformats.org/drawingml/2006/main">
              <a:graphicData uri="http://schemas.openxmlformats.org/drawingml/2006/picture">
                <pic:pic xmlns:pic="http://schemas.openxmlformats.org/drawingml/2006/picture">
                  <pic:nvPicPr>
                    <pic:cNvPr id="1028" name="Image1"/>
                    <pic:cNvPicPr/>
                  </pic:nvPicPr>
                  <pic:blipFill>
                    <a:blip r:embed="rId9" cstate="print"/>
                    <a:srcRect/>
                    <a:stretch>
                      <a:fillRect/>
                    </a:stretch>
                  </pic:blipFill>
                  <pic:spPr>
                    <a:xfrm>
                      <a:off x="0" y="0"/>
                      <a:ext cx="4870750" cy="3089108"/>
                    </a:xfrm>
                    <a:prstGeom prst="rect">
                      <a:avLst/>
                    </a:prstGeom>
                  </pic:spPr>
                </pic:pic>
              </a:graphicData>
            </a:graphic>
          </wp:inline>
        </w:drawing>
      </w:r>
    </w:p>
    <w:p w14:paraId="4D1EFBE2" w14:textId="77777777" w:rsidR="004A0F9D" w:rsidRDefault="002340D6">
      <w:pPr>
        <w:widowControl/>
        <w:ind w:firstLineChars="200" w:firstLine="560"/>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开班典礼结束后，学员们开始了今天的学习。上午由教师教育学院院长闫江涛做关于家庭教育指导相关文件解读的报告。</w:t>
      </w:r>
    </w:p>
    <w:p w14:paraId="38B1E644" w14:textId="77777777" w:rsidR="004A0F9D" w:rsidRDefault="002340D6">
      <w:pPr>
        <w:widowControl/>
        <w:ind w:firstLineChars="200" w:firstLine="560"/>
        <w:jc w:val="left"/>
        <w:rPr>
          <w:rFonts w:ascii="仿宋" w:eastAsia="仿宋" w:hAnsi="仿宋" w:cs="仿宋"/>
          <w:sz w:val="28"/>
          <w:szCs w:val="28"/>
        </w:rPr>
      </w:pPr>
      <w:r>
        <w:rPr>
          <w:rFonts w:ascii="仿宋" w:eastAsia="仿宋" w:hAnsi="仿宋" w:cs="仿宋" w:hint="eastAsia"/>
          <w:color w:val="000000"/>
          <w:kern w:val="0"/>
          <w:sz w:val="28"/>
          <w:szCs w:val="28"/>
          <w:shd w:val="clear" w:color="auto" w:fill="FFFFFF"/>
        </w:rPr>
        <w:t>在报告伊始，闫院长以社会生活中存在的一些教育实例为切入点，从而引出报告主题：家庭教育指导。报告主要从相关文件的界定、文件内容、文件精神的落实三个方面进行解读。</w:t>
      </w:r>
    </w:p>
    <w:p w14:paraId="1BDB9E64" w14:textId="77777777" w:rsidR="004A0F9D" w:rsidRDefault="002340D6">
      <w:pPr>
        <w:widowControl/>
        <w:ind w:firstLineChars="200" w:firstLine="560"/>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在文件落实方面，闫院长提出了家庭教育指导应注重科学性、针对性、适用性。然后分别从政策文件的要求、儿童各个成长时期的需要，以及家庭教育指导要点等方面展开阐述。</w:t>
      </w:r>
    </w:p>
    <w:p w14:paraId="53581414" w14:textId="77777777" w:rsidR="004A0F9D" w:rsidRDefault="002340D6">
      <w:pPr>
        <w:widowControl/>
        <w:ind w:firstLineChars="200" w:firstLine="560"/>
        <w:jc w:val="left"/>
        <w:rPr>
          <w:rFonts w:ascii="仿宋" w:eastAsia="仿宋" w:hAnsi="仿宋" w:cs="仿宋"/>
          <w:sz w:val="28"/>
          <w:szCs w:val="28"/>
        </w:rPr>
      </w:pPr>
      <w:r>
        <w:rPr>
          <w:rFonts w:ascii="仿宋" w:eastAsia="仿宋" w:hAnsi="仿宋" w:cs="仿宋" w:hint="eastAsia"/>
          <w:noProof/>
          <w:sz w:val="28"/>
          <w:szCs w:val="28"/>
        </w:rPr>
        <w:lastRenderedPageBreak/>
        <w:drawing>
          <wp:inline distT="0" distB="0" distL="0" distR="0" wp14:anchorId="1EA48165" wp14:editId="2804C0BB">
            <wp:extent cx="5022215" cy="3766185"/>
            <wp:effectExtent l="0" t="0" r="0" b="0"/>
            <wp:docPr id="1029" name="Image1"/>
            <wp:cNvGraphicFramePr/>
            <a:graphic xmlns:a="http://schemas.openxmlformats.org/drawingml/2006/main">
              <a:graphicData uri="http://schemas.openxmlformats.org/drawingml/2006/picture">
                <pic:pic xmlns:pic="http://schemas.openxmlformats.org/drawingml/2006/picture">
                  <pic:nvPicPr>
                    <pic:cNvPr id="1029" name="Image1"/>
                    <pic:cNvPicPr/>
                  </pic:nvPicPr>
                  <pic:blipFill>
                    <a:blip r:embed="rId10" cstate="print"/>
                    <a:srcRect/>
                    <a:stretch>
                      <a:fillRect/>
                    </a:stretch>
                  </pic:blipFill>
                  <pic:spPr>
                    <a:xfrm>
                      <a:off x="0" y="0"/>
                      <a:ext cx="5022256" cy="3766578"/>
                    </a:xfrm>
                    <a:prstGeom prst="rect">
                      <a:avLst/>
                    </a:prstGeom>
                  </pic:spPr>
                </pic:pic>
              </a:graphicData>
            </a:graphic>
          </wp:inline>
        </w:drawing>
      </w:r>
    </w:p>
    <w:p w14:paraId="7507347B" w14:textId="77777777" w:rsidR="004A0F9D" w:rsidRDefault="002340D6">
      <w:pPr>
        <w:widowControl/>
        <w:ind w:firstLineChars="200" w:firstLine="560"/>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在讲述过程中，闫院长适时引用生活中的例子，通俗易懂的语言使得整个讲解过程更加生动有趣。</w:t>
      </w:r>
    </w:p>
    <w:p w14:paraId="30753E22" w14:textId="77777777" w:rsidR="004A0F9D" w:rsidRDefault="002340D6">
      <w:pPr>
        <w:widowControl/>
        <w:ind w:firstLineChars="200" w:firstLine="560"/>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在学员代表的总结中，学员们结束了上午的学习，下午有幸邀请到王小鹤副教授做主题报告。</w:t>
      </w:r>
    </w:p>
    <w:p w14:paraId="1CDD641D" w14:textId="77777777" w:rsidR="004A0F9D" w:rsidRDefault="002340D6">
      <w:pPr>
        <w:widowControl/>
        <w:ind w:firstLineChars="200" w:firstLine="560"/>
        <w:jc w:val="left"/>
        <w:rPr>
          <w:rFonts w:ascii="仿宋" w:eastAsia="仿宋" w:hAnsi="仿宋" w:cs="仿宋"/>
          <w:sz w:val="28"/>
          <w:szCs w:val="28"/>
        </w:rPr>
      </w:pPr>
      <w:r>
        <w:rPr>
          <w:rFonts w:ascii="仿宋" w:eastAsia="仿宋" w:hAnsi="仿宋" w:cs="仿宋" w:hint="eastAsia"/>
          <w:noProof/>
          <w:sz w:val="28"/>
          <w:szCs w:val="28"/>
        </w:rPr>
        <w:drawing>
          <wp:inline distT="0" distB="0" distL="0" distR="0" wp14:anchorId="596292E2" wp14:editId="35A9D6D9">
            <wp:extent cx="4847590" cy="3364230"/>
            <wp:effectExtent l="0" t="0" r="0" b="0"/>
            <wp:docPr id="1030" name="Image1"/>
            <wp:cNvGraphicFramePr/>
            <a:graphic xmlns:a="http://schemas.openxmlformats.org/drawingml/2006/main">
              <a:graphicData uri="http://schemas.openxmlformats.org/drawingml/2006/picture">
                <pic:pic xmlns:pic="http://schemas.openxmlformats.org/drawingml/2006/picture">
                  <pic:nvPicPr>
                    <pic:cNvPr id="1030" name="Image1"/>
                    <pic:cNvPicPr/>
                  </pic:nvPicPr>
                  <pic:blipFill>
                    <a:blip r:embed="rId11" cstate="print"/>
                    <a:srcRect/>
                    <a:stretch>
                      <a:fillRect/>
                    </a:stretch>
                  </pic:blipFill>
                  <pic:spPr>
                    <a:xfrm>
                      <a:off x="0" y="0"/>
                      <a:ext cx="4848188" cy="3364299"/>
                    </a:xfrm>
                    <a:prstGeom prst="rect">
                      <a:avLst/>
                    </a:prstGeom>
                  </pic:spPr>
                </pic:pic>
              </a:graphicData>
            </a:graphic>
          </wp:inline>
        </w:drawing>
      </w:r>
    </w:p>
    <w:p w14:paraId="74566421" w14:textId="77777777" w:rsidR="004A0F9D" w:rsidRDefault="002340D6">
      <w:pPr>
        <w:widowControl/>
        <w:ind w:firstLineChars="200" w:firstLine="560"/>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lastRenderedPageBreak/>
        <w:t>报告主题为幼儿发展特点与常见问题的家庭教育指导，分别从家庭教育指导的实施背景、</w:t>
      </w:r>
      <w:r>
        <w:rPr>
          <w:rFonts w:ascii="仿宋" w:eastAsia="仿宋" w:hAnsi="仿宋" w:cs="仿宋" w:hint="eastAsia"/>
          <w:color w:val="000000"/>
          <w:kern w:val="0"/>
          <w:sz w:val="28"/>
          <w:szCs w:val="28"/>
          <w:shd w:val="clear" w:color="auto" w:fill="FFFFFF"/>
        </w:rPr>
        <w:t>3-6</w:t>
      </w:r>
      <w:r>
        <w:rPr>
          <w:rFonts w:ascii="仿宋" w:eastAsia="仿宋" w:hAnsi="仿宋" w:cs="仿宋" w:hint="eastAsia"/>
          <w:color w:val="000000"/>
          <w:kern w:val="0"/>
          <w:sz w:val="28"/>
          <w:szCs w:val="28"/>
          <w:shd w:val="clear" w:color="auto" w:fill="FFFFFF"/>
        </w:rPr>
        <w:t>岁儿童家庭教育指导内容、</w:t>
      </w:r>
      <w:r>
        <w:rPr>
          <w:rFonts w:ascii="仿宋" w:eastAsia="仿宋" w:hAnsi="仿宋" w:cs="仿宋" w:hint="eastAsia"/>
          <w:color w:val="000000"/>
          <w:kern w:val="0"/>
          <w:sz w:val="28"/>
          <w:szCs w:val="28"/>
          <w:shd w:val="clear" w:color="auto" w:fill="FFFFFF"/>
        </w:rPr>
        <w:t>3-6</w:t>
      </w:r>
      <w:r>
        <w:rPr>
          <w:rFonts w:ascii="仿宋" w:eastAsia="仿宋" w:hAnsi="仿宋" w:cs="仿宋" w:hint="eastAsia"/>
          <w:color w:val="000000"/>
          <w:kern w:val="0"/>
          <w:sz w:val="28"/>
          <w:szCs w:val="28"/>
          <w:shd w:val="clear" w:color="auto" w:fill="FFFFFF"/>
        </w:rPr>
        <w:t>岁儿童家庭教育指导要点三个方面进行讲解。</w:t>
      </w:r>
      <w:r>
        <w:rPr>
          <w:rFonts w:ascii="仿宋" w:eastAsia="仿宋" w:hAnsi="仿宋" w:cs="仿宋" w:hint="eastAsia"/>
          <w:noProof/>
          <w:sz w:val="28"/>
          <w:szCs w:val="28"/>
        </w:rPr>
        <w:drawing>
          <wp:inline distT="0" distB="0" distL="0" distR="0" wp14:anchorId="4FA40824" wp14:editId="62D92797">
            <wp:extent cx="5095240" cy="3914775"/>
            <wp:effectExtent l="0" t="0" r="0" b="0"/>
            <wp:docPr id="1031" name="Image1"/>
            <wp:cNvGraphicFramePr/>
            <a:graphic xmlns:a="http://schemas.openxmlformats.org/drawingml/2006/main">
              <a:graphicData uri="http://schemas.openxmlformats.org/drawingml/2006/picture">
                <pic:pic xmlns:pic="http://schemas.openxmlformats.org/drawingml/2006/picture">
                  <pic:nvPicPr>
                    <pic:cNvPr id="1031" name="Image1"/>
                    <pic:cNvPicPr/>
                  </pic:nvPicPr>
                  <pic:blipFill>
                    <a:blip r:embed="rId12" cstate="print"/>
                    <a:srcRect/>
                    <a:stretch>
                      <a:fillRect/>
                    </a:stretch>
                  </pic:blipFill>
                  <pic:spPr>
                    <a:xfrm>
                      <a:off x="0" y="0"/>
                      <a:ext cx="5095767" cy="3915184"/>
                    </a:xfrm>
                    <a:prstGeom prst="rect">
                      <a:avLst/>
                    </a:prstGeom>
                  </pic:spPr>
                </pic:pic>
              </a:graphicData>
            </a:graphic>
          </wp:inline>
        </w:drawing>
      </w:r>
    </w:p>
    <w:p w14:paraId="314C3DA6" w14:textId="77777777" w:rsidR="004A0F9D" w:rsidRDefault="002340D6">
      <w:pPr>
        <w:widowControl/>
        <w:ind w:firstLineChars="200" w:firstLine="560"/>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在家庭教育指导要</w:t>
      </w:r>
      <w:r>
        <w:rPr>
          <w:rFonts w:ascii="仿宋" w:eastAsia="仿宋" w:hAnsi="仿宋" w:cs="仿宋" w:hint="eastAsia"/>
          <w:color w:val="000000"/>
          <w:kern w:val="0"/>
          <w:sz w:val="28"/>
          <w:szCs w:val="28"/>
          <w:shd w:val="clear" w:color="auto" w:fill="FFFFFF"/>
        </w:rPr>
        <w:t>点方面，王小鹤副教授从健康发展指导、语言发展指导、社会性发展指导等五个不同层次进行相关说明。在讲解过程中，结合自身的教育经验进行分析并提出相关的发展建议。此外，通过播放视频，加深学员们对相关概念的深入理解。</w:t>
      </w:r>
    </w:p>
    <w:p w14:paraId="54E5E64A" w14:textId="77777777" w:rsidR="004A0F9D" w:rsidRDefault="002340D6">
      <w:pPr>
        <w:widowControl/>
        <w:ind w:firstLineChars="200" w:firstLine="560"/>
        <w:jc w:val="left"/>
        <w:rPr>
          <w:rFonts w:ascii="仿宋" w:eastAsia="仿宋" w:hAnsi="仿宋" w:cs="仿宋"/>
          <w:color w:val="000000"/>
          <w:kern w:val="0"/>
          <w:sz w:val="28"/>
          <w:szCs w:val="28"/>
          <w:shd w:val="clear" w:color="auto" w:fill="FFFFFF"/>
        </w:rPr>
      </w:pPr>
      <w:r>
        <w:rPr>
          <w:rFonts w:ascii="仿宋" w:eastAsia="仿宋" w:hAnsi="仿宋" w:cs="仿宋" w:hint="eastAsia"/>
          <w:noProof/>
          <w:sz w:val="28"/>
          <w:szCs w:val="28"/>
        </w:rPr>
        <w:lastRenderedPageBreak/>
        <w:drawing>
          <wp:inline distT="0" distB="0" distL="0" distR="0" wp14:anchorId="3FD0B5E1" wp14:editId="44DE5367">
            <wp:extent cx="4870450" cy="3372485"/>
            <wp:effectExtent l="0" t="0" r="0" b="0"/>
            <wp:docPr id="1032" name="Image1"/>
            <wp:cNvGraphicFramePr/>
            <a:graphic xmlns:a="http://schemas.openxmlformats.org/drawingml/2006/main">
              <a:graphicData uri="http://schemas.openxmlformats.org/drawingml/2006/picture">
                <pic:pic xmlns:pic="http://schemas.openxmlformats.org/drawingml/2006/picture">
                  <pic:nvPicPr>
                    <pic:cNvPr id="1032" name="Image1"/>
                    <pic:cNvPicPr/>
                  </pic:nvPicPr>
                  <pic:blipFill>
                    <a:blip r:embed="rId13" cstate="print"/>
                    <a:srcRect/>
                    <a:stretch>
                      <a:fillRect/>
                    </a:stretch>
                  </pic:blipFill>
                  <pic:spPr>
                    <a:xfrm>
                      <a:off x="0" y="0"/>
                      <a:ext cx="4870748" cy="3372644"/>
                    </a:xfrm>
                    <a:prstGeom prst="rect">
                      <a:avLst/>
                    </a:prstGeom>
                  </pic:spPr>
                </pic:pic>
              </a:graphicData>
            </a:graphic>
          </wp:inline>
        </w:drawing>
      </w:r>
    </w:p>
    <w:p w14:paraId="12C08EAF" w14:textId="77777777" w:rsidR="004A0F9D" w:rsidRDefault="004A0F9D">
      <w:pPr>
        <w:widowControl/>
        <w:ind w:firstLineChars="200" w:firstLine="560"/>
        <w:jc w:val="left"/>
        <w:rPr>
          <w:rFonts w:ascii="仿宋" w:eastAsia="仿宋" w:hAnsi="仿宋" w:cs="仿宋"/>
          <w:color w:val="000000"/>
          <w:kern w:val="0"/>
          <w:sz w:val="28"/>
          <w:szCs w:val="28"/>
          <w:shd w:val="clear" w:color="auto" w:fill="FFFFFF"/>
        </w:rPr>
      </w:pPr>
    </w:p>
    <w:p w14:paraId="002E9556" w14:textId="77777777" w:rsidR="004A0F9D" w:rsidRDefault="004A0F9D">
      <w:pPr>
        <w:widowControl/>
        <w:ind w:firstLineChars="200" w:firstLine="560"/>
        <w:jc w:val="left"/>
        <w:rPr>
          <w:rFonts w:ascii="仿宋" w:eastAsia="仿宋" w:hAnsi="仿宋" w:cs="仿宋"/>
          <w:color w:val="000000"/>
          <w:kern w:val="0"/>
          <w:sz w:val="28"/>
          <w:szCs w:val="28"/>
          <w:shd w:val="clear" w:color="auto" w:fill="FFFFFF"/>
        </w:rPr>
      </w:pPr>
    </w:p>
    <w:sectPr w:rsidR="004A0F9D">
      <w:headerReference w:type="even" r:id="rId14"/>
      <w:headerReference w:type="default" r:id="rId15"/>
      <w:footerReference w:type="default" r:id="rId16"/>
      <w:type w:val="continuous"/>
      <w:pgSz w:w="11906" w:h="16838"/>
      <w:pgMar w:top="1440" w:right="1800" w:bottom="1440" w:left="180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14DDA" w14:textId="77777777" w:rsidR="002340D6" w:rsidRDefault="002340D6">
      <w:r>
        <w:separator/>
      </w:r>
    </w:p>
  </w:endnote>
  <w:endnote w:type="continuationSeparator" w:id="0">
    <w:p w14:paraId="607A1744" w14:textId="77777777" w:rsidR="002340D6" w:rsidRDefault="0023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732D" w14:textId="77777777" w:rsidR="004A0F9D" w:rsidRDefault="002340D6">
    <w:pPr>
      <w:jc w:val="center"/>
    </w:pPr>
    <w:r>
      <w:pict w14:anchorId="01CF8FBE">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14:paraId="12CA1FA7" w14:textId="77777777" w:rsidR="004A0F9D" w:rsidRDefault="002340D6">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F4979" w14:textId="77777777" w:rsidR="002340D6" w:rsidRDefault="002340D6">
      <w:r>
        <w:separator/>
      </w:r>
    </w:p>
  </w:footnote>
  <w:footnote w:type="continuationSeparator" w:id="0">
    <w:p w14:paraId="2C20FFA9" w14:textId="77777777" w:rsidR="002340D6" w:rsidRDefault="0023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7E6C" w14:textId="77777777" w:rsidR="004A0F9D" w:rsidRDefault="004A0F9D">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F982" w14:textId="77777777" w:rsidR="004A0F9D" w:rsidRDefault="004A0F9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420"/>
  <w:drawingGridHorizontalSpacing w:val="105"/>
  <w:drawingGridVerticalSpacing w:val="317"/>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A0F9D"/>
    <w:rsid w:val="001E2871"/>
    <w:rsid w:val="002340D6"/>
    <w:rsid w:val="004A0F9D"/>
    <w:rsid w:val="2505333F"/>
    <w:rsid w:val="38BB722A"/>
    <w:rsid w:val="48F562B5"/>
    <w:rsid w:val="4B912365"/>
    <w:rsid w:val="51801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45BCF11C"/>
  <w15:docId w15:val="{462F59EB-0801-4503-BC6C-55D8E90F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宋体"/>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Hyperlink"/>
    <w:basedOn w:val="a0"/>
    <w:uiPriority w:val="99"/>
    <w:qFormat/>
    <w:rPr>
      <w:color w:val="0000FF"/>
      <w:u w:val="single"/>
    </w:rPr>
  </w:style>
  <w:style w:type="character" w:customStyle="1" w:styleId="a8">
    <w:name w:val="页眉 字符"/>
    <w:basedOn w:val="a0"/>
    <w:link w:val="a7"/>
    <w:qFormat/>
    <w:rPr>
      <w:rFonts w:ascii="Calibri" w:hAnsi="Calibri" w:cs="宋体"/>
      <w:kern w:val="2"/>
      <w:sz w:val="18"/>
      <w:szCs w:val="18"/>
    </w:rPr>
  </w:style>
  <w:style w:type="character" w:customStyle="1" w:styleId="a6">
    <w:name w:val="页脚 字符"/>
    <w:basedOn w:val="a0"/>
    <w:link w:val="a5"/>
    <w:qFormat/>
    <w:rPr>
      <w:rFonts w:ascii="Calibri" w:hAnsi="Calibri" w:cs="宋体"/>
      <w:kern w:val="2"/>
      <w:sz w:val="18"/>
      <w:szCs w:val="18"/>
    </w:rPr>
  </w:style>
  <w:style w:type="character" w:customStyle="1" w:styleId="a4">
    <w:name w:val="批注框文本 字符"/>
    <w:basedOn w:val="a0"/>
    <w:link w:val="a3"/>
    <w:qFormat/>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1D633F-409D-43F5-8E4E-8EB4267B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43</cp:revision>
  <cp:lastPrinted>2018-11-05T15:54:00Z</cp:lastPrinted>
  <dcterms:created xsi:type="dcterms:W3CDTF">2018-11-08T02:42:00Z</dcterms:created>
  <dcterms:modified xsi:type="dcterms:W3CDTF">2019-12-10T05:01:00Z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