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宋体" w:eastAsia="方正小标宋简体" w:cs="Times New Roman"/>
          <w:b/>
          <w:bCs/>
          <w:color w:val="FF0000"/>
          <w:spacing w:val="22"/>
          <w:w w:val="50"/>
          <w:sz w:val="112"/>
          <w:szCs w:val="112"/>
        </w:rPr>
      </w:pPr>
      <w:r>
        <w:rPr>
          <w:rFonts w:hint="eastAsia" w:ascii="Cambria" w:hAnsi="宋体" w:eastAsia="方正小标宋简体" w:cs="Times New Roman"/>
          <w:b/>
          <w:bCs/>
          <w:color w:val="FF0000"/>
          <w:spacing w:val="22"/>
          <w:w w:val="50"/>
          <w:sz w:val="112"/>
          <w:szCs w:val="112"/>
        </w:rPr>
        <w:t>“国培计划”培训简报</w:t>
      </w:r>
    </w:p>
    <w:p>
      <w:pPr>
        <w:spacing w:before="158" w:beforeLines="50" w:after="158" w:afterLines="50"/>
        <w:jc w:val="center"/>
        <w:rPr>
          <w:rFonts w:ascii="仿宋_GB2312" w:hAnsi="仿宋_GB2312" w:eastAsia="仿宋_GB2312"/>
          <w:b/>
          <w:bCs/>
          <w:color w:val="000000"/>
          <w:sz w:val="30"/>
        </w:rPr>
      </w:pPr>
      <w:r>
        <w:rPr>
          <w:rFonts w:hint="eastAsia" w:ascii="仿宋_GB2312" w:hAnsi="仿宋_GB2312" w:eastAsia="仿宋_GB2312"/>
          <w:b/>
          <w:bCs/>
          <w:color w:val="000000"/>
          <w:sz w:val="30"/>
        </w:rPr>
        <w:t>第</w:t>
      </w:r>
      <w:r>
        <w:rPr>
          <w:rFonts w:ascii="仿宋_GB2312" w:hAnsi="仿宋_GB2312" w:eastAsia="仿宋_GB2312"/>
          <w:b/>
          <w:bCs/>
          <w:color w:val="000000"/>
          <w:sz w:val="30"/>
        </w:rPr>
        <w:t>6</w:t>
      </w:r>
      <w:r>
        <w:rPr>
          <w:rFonts w:hint="eastAsia" w:ascii="仿宋_GB2312" w:hAnsi="仿宋_GB2312" w:eastAsia="仿宋_GB2312"/>
          <w:b/>
          <w:bCs/>
          <w:color w:val="000000"/>
          <w:sz w:val="30"/>
        </w:rPr>
        <w:t>期</w:t>
      </w:r>
    </w:p>
    <w:p>
      <w:pPr>
        <w:jc w:val="left"/>
        <w:rPr>
          <w:rFonts w:ascii="仿宋_GB2312" w:hAnsi="仿宋_GB2312" w:eastAsia="仿宋_GB2312"/>
          <w:b/>
          <w:bCs/>
          <w:color w:val="000000"/>
          <w:w w:val="90"/>
          <w:sz w:val="30"/>
        </w:rPr>
      </w:pPr>
      <w:r>
        <w:rPr>
          <w:rFonts w:hint="eastAsia" w:ascii="仿宋_GB2312" w:hAnsi="仿宋_GB2312" w:eastAsia="仿宋_GB2312"/>
          <w:b/>
          <w:bCs/>
          <w:color w:val="000000"/>
          <w:w w:val="90"/>
          <w:sz w:val="30"/>
        </w:rPr>
        <w:t>家庭教育指导师培训项目</w:t>
      </w:r>
    </w:p>
    <w:p>
      <w:pPr>
        <w:jc w:val="left"/>
        <w:rPr>
          <w:rFonts w:ascii="仿宋_GB2312" w:hAnsi="仿宋_GB2312" w:eastAsia="仿宋_GB2312"/>
          <w:b/>
          <w:bCs/>
          <w:color w:val="000000"/>
          <w:w w:val="80"/>
          <w:sz w:val="30"/>
        </w:rPr>
      </w:pPr>
      <w:r>
        <w:rPr>
          <w:rFonts w:hint="eastAsia" w:ascii="仿宋_GB2312" w:hAnsi="仿宋_GB2312" w:eastAsia="仿宋_GB2312"/>
          <w:b/>
          <w:bCs/>
          <w:color w:val="000000"/>
          <w:w w:val="90"/>
          <w:sz w:val="30"/>
        </w:rPr>
        <w:t xml:space="preserve">平顶山学院班                             </w:t>
      </w:r>
      <w:r>
        <w:rPr>
          <w:rFonts w:ascii="仿宋_GB2312" w:hAnsi="仿宋_GB2312" w:eastAsia="仿宋_GB2312"/>
          <w:b/>
          <w:bCs/>
          <w:color w:val="000000"/>
          <w:w w:val="90"/>
          <w:sz w:val="30"/>
        </w:rPr>
        <w:t xml:space="preserve">    </w:t>
      </w:r>
      <w:r>
        <w:rPr>
          <w:rFonts w:hint="eastAsia" w:ascii="仿宋_GB2312" w:hAnsi="仿宋_GB2312" w:eastAsia="仿宋_GB2312"/>
          <w:b/>
          <w:bCs/>
          <w:color w:val="000000"/>
          <w:w w:val="90"/>
          <w:sz w:val="30"/>
        </w:rPr>
        <w:t xml:space="preserve"> </w:t>
      </w:r>
      <w:r>
        <w:rPr>
          <w:rFonts w:hint="eastAsia" w:ascii="仿宋_GB2312" w:hAnsi="仿宋_GB2312" w:eastAsia="仿宋_GB2312"/>
          <w:b/>
          <w:bCs/>
          <w:color w:val="000000"/>
          <w:w w:val="80"/>
          <w:sz w:val="30"/>
        </w:rPr>
        <w:t>201</w:t>
      </w:r>
      <w:r>
        <w:rPr>
          <w:rFonts w:ascii="仿宋_GB2312" w:hAnsi="仿宋_GB2312" w:eastAsia="仿宋_GB2312"/>
          <w:b/>
          <w:bCs/>
          <w:color w:val="000000"/>
          <w:w w:val="80"/>
          <w:sz w:val="30"/>
        </w:rPr>
        <w:t>9</w:t>
      </w:r>
      <w:r>
        <w:rPr>
          <w:rFonts w:hint="eastAsia" w:ascii="仿宋_GB2312" w:hAnsi="仿宋_GB2312" w:eastAsia="仿宋_GB2312"/>
          <w:b/>
          <w:bCs/>
          <w:color w:val="000000"/>
          <w:w w:val="80"/>
          <w:sz w:val="30"/>
        </w:rPr>
        <w:t>年1</w:t>
      </w:r>
      <w:r>
        <w:rPr>
          <w:rFonts w:ascii="仿宋_GB2312" w:hAnsi="仿宋_GB2312" w:eastAsia="仿宋_GB2312"/>
          <w:b/>
          <w:bCs/>
          <w:color w:val="000000"/>
          <w:w w:val="80"/>
          <w:sz w:val="30"/>
        </w:rPr>
        <w:t>0</w:t>
      </w:r>
      <w:r>
        <w:rPr>
          <w:rFonts w:hint="eastAsia" w:ascii="仿宋_GB2312" w:hAnsi="仿宋_GB2312" w:eastAsia="仿宋_GB2312"/>
          <w:b/>
          <w:bCs/>
          <w:color w:val="000000"/>
          <w:w w:val="80"/>
          <w:sz w:val="30"/>
        </w:rPr>
        <w:t>月</w:t>
      </w:r>
      <w:r>
        <w:rPr>
          <w:rFonts w:ascii="仿宋_GB2312" w:hAnsi="仿宋_GB2312" w:eastAsia="仿宋_GB2312"/>
          <w:b/>
          <w:bCs/>
          <w:color w:val="000000"/>
          <w:w w:val="80"/>
          <w:sz w:val="30"/>
        </w:rPr>
        <w:t>25</w:t>
      </w:r>
      <w:r>
        <w:rPr>
          <w:rFonts w:hint="eastAsia" w:ascii="仿宋_GB2312" w:hAnsi="仿宋_GB2312" w:eastAsia="仿宋_GB2312"/>
          <w:b/>
          <w:bCs/>
          <w:color w:val="000000"/>
          <w:w w:val="80"/>
          <w:sz w:val="30"/>
        </w:rPr>
        <w:t>日</w:t>
      </w:r>
    </w:p>
    <w:p>
      <w:pPr>
        <w:jc w:val="left"/>
        <w:rPr>
          <w:rFonts w:ascii="宋体" w:hAnsi="宋体"/>
          <w:sz w:val="28"/>
          <w:szCs w:val="28"/>
        </w:rPr>
      </w:pPr>
      <w:r>
        <w:rPr>
          <w:rFonts w:ascii="宋体" w:hAnsi="宋体"/>
          <w:b/>
          <w:bCs/>
          <w:sz w:val="36"/>
          <w:szCs w:val="36"/>
        </w:rPr>
        <mc:AlternateContent>
          <mc:Choice Requires="wps">
            <w:drawing>
              <wp:anchor distT="0" distB="0" distL="0" distR="0" simplePos="0" relativeHeight="1024" behindDoc="0" locked="0" layoutInCell="1" allowOverlap="1">
                <wp:simplePos x="0" y="0"/>
                <wp:positionH relativeFrom="page">
                  <wp:posOffset>925830</wp:posOffset>
                </wp:positionH>
                <wp:positionV relativeFrom="page">
                  <wp:posOffset>3731895</wp:posOffset>
                </wp:positionV>
                <wp:extent cx="6198235" cy="2540"/>
                <wp:effectExtent l="11430" t="17145" r="10160" b="18415"/>
                <wp:wrapNone/>
                <wp:docPr id="1026" name="1026"/>
                <wp:cNvGraphicFramePr/>
                <a:graphic xmlns:a="http://schemas.openxmlformats.org/drawingml/2006/main">
                  <a:graphicData uri="http://schemas.microsoft.com/office/word/2010/wordprocessingShape">
                    <wps:wsp>
                      <wps:cNvCnPr/>
                      <wps:spPr>
                        <a:xfrm>
                          <a:off x="0" y="0"/>
                          <a:ext cx="6198235" cy="2540"/>
                        </a:xfrm>
                        <a:prstGeom prst="line">
                          <a:avLst/>
                        </a:prstGeom>
                        <a:ln w="18034" cap="flat" cmpd="sng">
                          <a:solidFill>
                            <a:srgbClr val="FF0000"/>
                          </a:solidFill>
                          <a:prstDash val="solid"/>
                          <a:round/>
                          <a:headEnd type="none" w="med" len="med"/>
                          <a:tailEnd type="none" w="med" len="med"/>
                        </a:ln>
                      </wps:spPr>
                      <wps:bodyPr/>
                    </wps:wsp>
                  </a:graphicData>
                </a:graphic>
              </wp:anchor>
            </w:drawing>
          </mc:Choice>
          <mc:Fallback>
            <w:pict>
              <v:line id="1026" o:spid="_x0000_s1026" o:spt="20" style="position:absolute;left:0pt;margin-left:72.9pt;margin-top:293.85pt;height:0.2pt;width:488.05pt;mso-position-horizontal-relative:page;mso-position-vertical-relative:page;z-index:1024;mso-width-relative:page;mso-height-relative:page;" filled="f" stroked="t" coordsize="21600,21600" o:gfxdata="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AHw9A2wAAAAwBAAAPAAAAAAAAAAEAIAAAACIAAABkcnMvZG93&#10;bnJldi54bWxQSwECFAAUAAAACACHTuJAh2Ux6sQBAACOAwAADgAAAAAAAAABACAAAAAqAQAAZHJz&#10;L2Uyb0RvYy54bWxQSwUGAAAAAAYABgBZAQAAYAUAAAAA&#10;">
                <v:fill on="f" focussize="0,0"/>
                <v:stroke weight="1.42pt" color="#FF0000" joinstyle="round"/>
                <v:imagedata o:title=""/>
                <o:lock v:ext="edit" aspectratio="f"/>
              </v:line>
            </w:pict>
          </mc:Fallback>
        </mc:AlternateContent>
      </w:r>
    </w:p>
    <w:p>
      <w:pPr>
        <w:jc w:val="center"/>
        <w:rPr>
          <w:rFonts w:ascii="仿宋" w:hAnsi="仿宋" w:eastAsia="仿宋" w:cs="仿宋"/>
          <w:b/>
          <w:color w:val="000000"/>
          <w:kern w:val="0"/>
          <w:sz w:val="28"/>
          <w:szCs w:val="28"/>
          <w:shd w:val="clear" w:color="auto" w:fill="FFFFFF"/>
        </w:rPr>
      </w:pPr>
      <w:r>
        <w:rPr>
          <w:rFonts w:hint="eastAsia" w:ascii="仿宋" w:hAnsi="仿宋" w:eastAsia="仿宋" w:cs="仿宋"/>
          <w:b/>
          <w:color w:val="000000"/>
          <w:kern w:val="0"/>
          <w:sz w:val="28"/>
          <w:szCs w:val="28"/>
          <w:shd w:val="clear" w:color="auto" w:fill="FFFFFF"/>
        </w:rPr>
        <w:t>关注幼儿安全保护，重视家庭教育实操</w:t>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10月25日，我们特地邀请了郑州师范学院教育科学学院院长，教育学二级教授陈国维博士来做“幼儿安全保护相关法律问题”的讲座，陈教授长期从事教育法规与政策研究，</w:t>
      </w:r>
      <w:r>
        <w:rPr>
          <w:rFonts w:hint="eastAsia" w:ascii="仿宋" w:hAnsi="仿宋" w:eastAsia="仿宋" w:cs="仿宋"/>
          <w:bCs/>
          <w:color w:val="000000"/>
          <w:kern w:val="0"/>
          <w:sz w:val="28"/>
          <w:szCs w:val="28"/>
          <w:shd w:val="clear" w:color="auto" w:fill="FFFFFF"/>
        </w:rPr>
        <w:t>经验丰富，</w:t>
      </w:r>
      <w:r>
        <w:rPr>
          <w:rFonts w:ascii="仿宋" w:hAnsi="仿宋" w:eastAsia="仿宋" w:cs="仿宋"/>
          <w:bCs/>
          <w:color w:val="000000"/>
          <w:kern w:val="0"/>
          <w:sz w:val="28"/>
          <w:szCs w:val="28"/>
          <w:shd w:val="clear" w:color="auto" w:fill="FFFFFF"/>
        </w:rPr>
        <w:t>讲课内容充实易懂，深受学员喜爱。</w:t>
      </w:r>
      <w:r>
        <w:drawing>
          <wp:inline distT="0" distB="0" distL="114300" distR="114300">
            <wp:extent cx="5243830" cy="3571240"/>
            <wp:effectExtent l="0" t="0" r="13970" b="1016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6" cstate="print"/>
                    <a:srcRect b="9202"/>
                    <a:stretch>
                      <a:fillRect/>
                    </a:stretch>
                  </pic:blipFill>
                  <pic:spPr>
                    <a:xfrm>
                      <a:off x="0" y="0"/>
                      <a:ext cx="5244456" cy="3571240"/>
                    </a:xfrm>
                    <a:prstGeom prst="rect">
                      <a:avLst/>
                    </a:prstGeom>
                  </pic:spPr>
                </pic:pic>
              </a:graphicData>
            </a:graphic>
          </wp:inline>
        </w:drawing>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幼儿园安全是社会的焦点，同时与教学质量息息相关。中共中央国务院发布关于全面深化新时代教师队伍建设改革的意见，弘扬高尚师德，推动教师队伍建设，争做四有好教师。</w:t>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幼儿园伤害事故的界定及其分类对幼儿园的管理者提出了更高的要求，学员们各抒己见，课下也就自己</w:t>
      </w:r>
      <w:r>
        <w:rPr>
          <w:rFonts w:hint="eastAsia" w:ascii="仿宋" w:hAnsi="仿宋" w:eastAsia="仿宋" w:cs="仿宋"/>
          <w:bCs/>
          <w:color w:val="000000"/>
          <w:kern w:val="0"/>
          <w:sz w:val="28"/>
          <w:szCs w:val="28"/>
          <w:shd w:val="clear" w:color="auto" w:fill="FFFFFF"/>
        </w:rPr>
        <w:t>的</w:t>
      </w:r>
      <w:r>
        <w:rPr>
          <w:rFonts w:ascii="仿宋" w:hAnsi="仿宋" w:eastAsia="仿宋" w:cs="仿宋"/>
          <w:bCs/>
          <w:color w:val="000000"/>
          <w:kern w:val="0"/>
          <w:sz w:val="28"/>
          <w:szCs w:val="28"/>
          <w:shd w:val="clear" w:color="auto" w:fill="FFFFFF"/>
        </w:rPr>
        <w:t>疑惑与陈教授沟通交流，希望获得更权威的答案。</w:t>
      </w:r>
    </w:p>
    <w:p>
      <w:pPr>
        <w:ind w:firstLine="560" w:firstLineChars="200"/>
        <w:jc w:val="left"/>
        <w:rPr>
          <w:rFonts w:ascii="仿宋" w:hAnsi="仿宋" w:eastAsia="仿宋" w:cs="仿宋"/>
          <w:bCs/>
          <w:color w:val="000000"/>
          <w:kern w:val="0"/>
          <w:sz w:val="28"/>
          <w:szCs w:val="28"/>
          <w:shd w:val="clear" w:color="auto" w:fill="FFFFFF"/>
        </w:rPr>
      </w:pPr>
      <w:r>
        <w:rPr>
          <w:rFonts w:hint="eastAsia" w:ascii="仿宋" w:hAnsi="仿宋" w:eastAsia="仿宋" w:cs="仿宋"/>
          <w:bCs/>
          <w:color w:val="000000"/>
          <w:kern w:val="0"/>
          <w:sz w:val="28"/>
          <w:szCs w:val="28"/>
          <w:shd w:val="clear" w:color="auto" w:fill="FFFFFF"/>
        </w:rPr>
        <w:t xml:space="preserve">   </w:t>
      </w:r>
      <w:r>
        <w:drawing>
          <wp:inline distT="0" distB="0" distL="114300" distR="114300">
            <wp:extent cx="4590415" cy="6120130"/>
            <wp:effectExtent l="0" t="0" r="635" b="13970"/>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7" cstate="print"/>
                    <a:srcRect/>
                    <a:stretch>
                      <a:fillRect/>
                    </a:stretch>
                  </pic:blipFill>
                  <pic:spPr>
                    <a:xfrm>
                      <a:off x="0" y="0"/>
                      <a:ext cx="4590566" cy="6120755"/>
                    </a:xfrm>
                    <a:prstGeom prst="rect">
                      <a:avLst/>
                    </a:prstGeom>
                  </pic:spPr>
                </pic:pic>
              </a:graphicData>
            </a:graphic>
          </wp:inline>
        </w:drawing>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同时，陈教授提出了幼儿园安全管理的预防体系，安全预防、安全应急、安全恢复三个体系相互依存，不可分割。防患于未然才能真正保护未成年人的权益。</w:t>
      </w:r>
    </w:p>
    <w:p>
      <w:pPr>
        <w:ind w:firstLine="420" w:firstLineChars="200"/>
        <w:jc w:val="left"/>
        <w:rPr>
          <w:rFonts w:ascii="仿宋" w:hAnsi="仿宋" w:eastAsia="仿宋" w:cs="仿宋"/>
          <w:bCs/>
          <w:color w:val="000000"/>
          <w:kern w:val="0"/>
          <w:sz w:val="28"/>
          <w:szCs w:val="28"/>
          <w:shd w:val="clear" w:color="auto" w:fill="FFFFFF"/>
        </w:rPr>
      </w:pPr>
      <w:r>
        <w:drawing>
          <wp:inline distT="0" distB="0" distL="114300" distR="114300">
            <wp:extent cx="5243830" cy="3933190"/>
            <wp:effectExtent l="0" t="0" r="0" b="0"/>
            <wp:docPr id="1030" name="Image1"/>
            <wp:cNvGraphicFramePr/>
            <a:graphic xmlns:a="http://schemas.openxmlformats.org/drawingml/2006/main">
              <a:graphicData uri="http://schemas.openxmlformats.org/drawingml/2006/picture">
                <pic:pic xmlns:pic="http://schemas.openxmlformats.org/drawingml/2006/picture">
                  <pic:nvPicPr>
                    <pic:cNvPr id="1030" name="Image1"/>
                    <pic:cNvPicPr/>
                  </pic:nvPicPr>
                  <pic:blipFill>
                    <a:blip r:embed="rId8" cstate="print"/>
                    <a:srcRect/>
                    <a:stretch>
                      <a:fillRect/>
                    </a:stretch>
                  </pic:blipFill>
                  <pic:spPr>
                    <a:xfrm>
                      <a:off x="0" y="0"/>
                      <a:ext cx="5244455" cy="3933341"/>
                    </a:xfrm>
                    <a:prstGeom prst="rect">
                      <a:avLst/>
                    </a:prstGeom>
                  </pic:spPr>
                </pic:pic>
              </a:graphicData>
            </a:graphic>
          </wp:inline>
        </w:drawing>
      </w:r>
    </w:p>
    <w:p>
      <w:pPr>
        <w:jc w:val="left"/>
        <w:rPr>
          <w:rFonts w:ascii="仿宋" w:hAnsi="仿宋" w:eastAsia="仿宋" w:cs="仿宋"/>
          <w:bCs/>
          <w:color w:val="000000"/>
          <w:kern w:val="0"/>
          <w:sz w:val="28"/>
          <w:szCs w:val="28"/>
          <w:shd w:val="clear" w:color="auto" w:fill="FFFFFF"/>
        </w:rPr>
      </w:pP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下午，平顶山学院教师教育学院赵红利副院长做了幼儿行为塑造与矫正的专题讲座。在家庭教育中，仅仅掌握理论知识是远远不够的，幼儿的各种特性要求我们必须有丰富的实操经验。久旱逢甘霖，赵红利副院长为我们带来了富有宝贵价值的一课。三个小时的课程弹指即逝，学员们收获的不只是幼儿教育的知识，更延伸到了我们每一个成年人的范围。</w:t>
      </w:r>
    </w:p>
    <w:p>
      <w:pPr>
        <w:ind w:firstLine="420" w:firstLineChars="200"/>
        <w:jc w:val="left"/>
        <w:rPr>
          <w:rFonts w:ascii="仿宋" w:hAnsi="仿宋" w:eastAsia="仿宋" w:cs="仿宋"/>
          <w:bCs/>
          <w:color w:val="000000"/>
          <w:kern w:val="0"/>
          <w:sz w:val="28"/>
          <w:szCs w:val="28"/>
          <w:shd w:val="clear" w:color="auto" w:fill="FFFFFF"/>
        </w:rPr>
      </w:pPr>
      <w:r>
        <w:drawing>
          <wp:inline distT="0" distB="0" distL="114300" distR="114300">
            <wp:extent cx="5235575" cy="3926840"/>
            <wp:effectExtent l="0" t="0" r="0" b="0"/>
            <wp:docPr id="1031" name="Image1"/>
            <wp:cNvGraphicFramePr/>
            <a:graphic xmlns:a="http://schemas.openxmlformats.org/drawingml/2006/main">
              <a:graphicData uri="http://schemas.openxmlformats.org/drawingml/2006/picture">
                <pic:pic xmlns:pic="http://schemas.openxmlformats.org/drawingml/2006/picture">
                  <pic:nvPicPr>
                    <pic:cNvPr id="1031" name="Image1"/>
                    <pic:cNvPicPr/>
                  </pic:nvPicPr>
                  <pic:blipFill>
                    <a:blip r:embed="rId9" cstate="print"/>
                    <a:srcRect/>
                    <a:stretch>
                      <a:fillRect/>
                    </a:stretch>
                  </pic:blipFill>
                  <pic:spPr>
                    <a:xfrm>
                      <a:off x="0" y="0"/>
                      <a:ext cx="5236046" cy="3927035"/>
                    </a:xfrm>
                    <a:prstGeom prst="rect">
                      <a:avLst/>
                    </a:prstGeom>
                  </pic:spPr>
                </pic:pic>
              </a:graphicData>
            </a:graphic>
          </wp:inline>
        </w:drawing>
      </w:r>
    </w:p>
    <w:p>
      <w:pPr>
        <w:ind w:firstLine="560" w:firstLineChars="200"/>
        <w:jc w:val="left"/>
        <w:rPr>
          <w:rFonts w:ascii="仿宋" w:hAnsi="仿宋" w:eastAsia="仿宋" w:cs="仿宋"/>
          <w:bCs/>
          <w:color w:val="000000"/>
          <w:kern w:val="0"/>
          <w:sz w:val="28"/>
          <w:szCs w:val="28"/>
          <w:shd w:val="clear" w:color="auto" w:fill="FFFFFF"/>
        </w:rPr>
      </w:pP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人类社会在不断进步，人类行为也发生改变，为让幼儿更快的适应环境，我们可以从家庭教育中对幼儿的行为进行塑造和矫正。在塑造过程中，务必遵守</w:t>
      </w:r>
      <w:r>
        <w:rPr>
          <w:rFonts w:hint="eastAsia" w:ascii="仿宋" w:hAnsi="仿宋" w:eastAsia="仿宋" w:cs="仿宋"/>
          <w:bCs/>
          <w:color w:val="000000"/>
          <w:kern w:val="0"/>
          <w:sz w:val="28"/>
          <w:szCs w:val="28"/>
          <w:shd w:val="clear" w:color="auto" w:fill="FFFFFF"/>
        </w:rPr>
        <w:t>3P</w:t>
      </w:r>
      <w:r>
        <w:rPr>
          <w:rFonts w:ascii="仿宋" w:hAnsi="仿宋" w:eastAsia="仿宋" w:cs="仿宋"/>
          <w:bCs/>
          <w:color w:val="000000"/>
          <w:kern w:val="0"/>
          <w:sz w:val="28"/>
          <w:szCs w:val="28"/>
          <w:shd w:val="clear" w:color="auto" w:fill="FFFFFF"/>
        </w:rPr>
        <w:t>（proud, patient,persistent</w:t>
      </w:r>
      <w:r>
        <w:rPr>
          <w:rFonts w:hint="eastAsia" w:ascii="仿宋" w:hAnsi="仿宋" w:eastAsia="仿宋" w:cs="仿宋"/>
          <w:bCs/>
          <w:color w:val="000000"/>
          <w:kern w:val="0"/>
          <w:sz w:val="28"/>
          <w:szCs w:val="28"/>
          <w:shd w:val="clear" w:color="auto" w:fill="FFFFFF"/>
        </w:rPr>
        <w:t>）、3C（</w:t>
      </w:r>
      <w:r>
        <w:rPr>
          <w:rFonts w:ascii="仿宋" w:hAnsi="仿宋" w:eastAsia="仿宋" w:cs="仿宋"/>
          <w:bCs/>
          <w:color w:val="000000"/>
          <w:kern w:val="0"/>
          <w:sz w:val="28"/>
          <w:szCs w:val="28"/>
          <w:shd w:val="clear" w:color="auto" w:fill="FFFFFF"/>
        </w:rPr>
        <w:t>commitment,challenges,control</w:t>
      </w:r>
      <w:r>
        <w:rPr>
          <w:rFonts w:hint="eastAsia" w:ascii="仿宋" w:hAnsi="仿宋" w:eastAsia="仿宋" w:cs="仿宋"/>
          <w:bCs/>
          <w:color w:val="000000"/>
          <w:kern w:val="0"/>
          <w:sz w:val="28"/>
          <w:szCs w:val="28"/>
          <w:shd w:val="clear" w:color="auto" w:fill="FFFFFF"/>
        </w:rPr>
        <w:t>）</w:t>
      </w:r>
      <w:r>
        <w:rPr>
          <w:rFonts w:ascii="仿宋" w:hAnsi="仿宋" w:eastAsia="仿宋" w:cs="仿宋"/>
          <w:bCs/>
          <w:color w:val="000000"/>
          <w:kern w:val="0"/>
          <w:sz w:val="28"/>
          <w:szCs w:val="28"/>
          <w:shd w:val="clear" w:color="auto" w:fill="FFFFFF"/>
        </w:rPr>
        <w:t>原则</w:t>
      </w:r>
      <w:r>
        <w:rPr>
          <w:rFonts w:hint="eastAsia" w:ascii="仿宋" w:hAnsi="仿宋" w:eastAsia="仿宋" w:cs="仿宋"/>
          <w:bCs/>
          <w:color w:val="000000"/>
          <w:kern w:val="0"/>
          <w:sz w:val="28"/>
          <w:szCs w:val="28"/>
          <w:shd w:val="clear" w:color="auto" w:fill="FFFFFF"/>
        </w:rPr>
        <w:t>。</w:t>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赵副院长从反应性制约学习（巴普洛夫 、华生、琼斯）和操作性制约学习两个方面介绍塑造与矫正。其中着重介绍了操作性制约学习中的强化和消退，针对幼儿的实际情况选择正强化或负强化，选择正确的强化物。</w:t>
      </w:r>
      <w:r>
        <w:drawing>
          <wp:inline distT="0" distB="0" distL="114300" distR="114300">
            <wp:extent cx="5042535" cy="3782060"/>
            <wp:effectExtent l="0" t="0" r="0" b="0"/>
            <wp:docPr id="1032" name="Image1"/>
            <wp:cNvGraphicFramePr/>
            <a:graphic xmlns:a="http://schemas.openxmlformats.org/drawingml/2006/main">
              <a:graphicData uri="http://schemas.openxmlformats.org/drawingml/2006/picture">
                <pic:pic xmlns:pic="http://schemas.openxmlformats.org/drawingml/2006/picture">
                  <pic:nvPicPr>
                    <pic:cNvPr id="1032" name="Image1"/>
                    <pic:cNvPicPr/>
                  </pic:nvPicPr>
                  <pic:blipFill>
                    <a:blip r:embed="rId10" cstate="print"/>
                    <a:srcRect/>
                    <a:stretch>
                      <a:fillRect/>
                    </a:stretch>
                  </pic:blipFill>
                  <pic:spPr>
                    <a:xfrm>
                      <a:off x="0" y="0"/>
                      <a:ext cx="5042867" cy="3782151"/>
                    </a:xfrm>
                    <a:prstGeom prst="rect">
                      <a:avLst/>
                    </a:prstGeom>
                  </pic:spPr>
                </pic:pic>
              </a:graphicData>
            </a:graphic>
          </wp:inline>
        </w:drawing>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赵红利副院长语言诙谐，讲课内容从学员的需求出发，期间频频与学员互动，课堂氛围一度高涨，学员纷纷表示受益匪浅，返校后一定会运用到实践之中。</w:t>
      </w:r>
    </w:p>
    <w:p>
      <w:pPr>
        <w:ind w:firstLine="560" w:firstLineChars="200"/>
        <w:jc w:val="left"/>
        <w:rPr>
          <w:rFonts w:ascii="仿宋" w:hAnsi="仿宋" w:eastAsia="仿宋" w:cs="仿宋"/>
          <w:bCs/>
          <w:color w:val="000000"/>
          <w:kern w:val="0"/>
          <w:sz w:val="28"/>
          <w:szCs w:val="28"/>
          <w:shd w:val="clear" w:color="auto" w:fill="FFFFFF"/>
        </w:rPr>
      </w:pPr>
      <w:r>
        <w:rPr>
          <w:rFonts w:ascii="仿宋" w:hAnsi="仿宋" w:eastAsia="仿宋" w:cs="仿宋"/>
          <w:bCs/>
          <w:color w:val="000000"/>
          <w:kern w:val="0"/>
          <w:sz w:val="28"/>
          <w:szCs w:val="28"/>
          <w:shd w:val="clear" w:color="auto" w:fill="FFFFFF"/>
        </w:rPr>
        <w:t>为期一周的学习结束，结业典礼</w:t>
      </w:r>
      <w:r>
        <w:rPr>
          <w:rFonts w:hint="eastAsia" w:ascii="仿宋" w:hAnsi="仿宋" w:eastAsia="仿宋" w:cs="仿宋"/>
          <w:bCs/>
          <w:color w:val="000000"/>
          <w:kern w:val="0"/>
          <w:sz w:val="28"/>
          <w:szCs w:val="28"/>
          <w:shd w:val="clear" w:color="auto" w:fill="FFFFFF"/>
        </w:rPr>
        <w:t>上，</w:t>
      </w:r>
      <w:r>
        <w:rPr>
          <w:rFonts w:ascii="仿宋" w:hAnsi="仿宋" w:eastAsia="仿宋" w:cs="仿宋"/>
          <w:bCs/>
          <w:color w:val="000000"/>
          <w:kern w:val="0"/>
          <w:sz w:val="28"/>
          <w:szCs w:val="28"/>
          <w:shd w:val="clear" w:color="auto" w:fill="FFFFFF"/>
        </w:rPr>
        <w:t>赵红利副院长为优秀学员颁发证书，鼓励学员们再接再厉，坚持学习。教育不是灌满一桶水，而是点燃一把火。雅斯贝尔斯曾说，教育是用一棵树摇动另一棵树，一朵云推动另一朵云，一个灵魂唤醒另一个灵魂。5天的培训就好像是这把火、这棵树、这个灵魂，希望能够在每个人的内心里点燃那么一小点的火焰，而星星之火，可以燎原，进而感染、受益周围的孩子们，</w:t>
      </w:r>
      <w:r>
        <w:rPr>
          <w:rFonts w:hint="eastAsia" w:ascii="仿宋" w:hAnsi="仿宋" w:eastAsia="仿宋" w:cs="仿宋"/>
          <w:bCs/>
          <w:color w:val="000000"/>
          <w:kern w:val="0"/>
          <w:sz w:val="28"/>
          <w:szCs w:val="28"/>
          <w:shd w:val="clear" w:color="auto" w:fill="FFFFFF"/>
        </w:rPr>
        <w:t>进而</w:t>
      </w:r>
      <w:r>
        <w:rPr>
          <w:rFonts w:ascii="仿宋" w:hAnsi="仿宋" w:eastAsia="仿宋" w:cs="仿宋"/>
          <w:bCs/>
          <w:color w:val="000000"/>
          <w:kern w:val="0"/>
          <w:sz w:val="28"/>
          <w:szCs w:val="28"/>
          <w:shd w:val="clear" w:color="auto" w:fill="FFFFFF"/>
        </w:rPr>
        <w:t>达到自我实现。</w:t>
      </w:r>
      <w:bookmarkStart w:id="0" w:name="_GoBack"/>
      <w:r>
        <w:drawing>
          <wp:inline distT="0" distB="0" distL="114300" distR="114300">
            <wp:extent cx="5149215" cy="3333750"/>
            <wp:effectExtent l="0" t="0" r="13335" b="0"/>
            <wp:docPr id="1034" name="Image1"/>
            <wp:cNvGraphicFramePr/>
            <a:graphic xmlns:a="http://schemas.openxmlformats.org/drawingml/2006/main">
              <a:graphicData uri="http://schemas.openxmlformats.org/drawingml/2006/picture">
                <pic:pic xmlns:pic="http://schemas.openxmlformats.org/drawingml/2006/picture">
                  <pic:nvPicPr>
                    <pic:cNvPr id="1034" name="Image1"/>
                    <pic:cNvPicPr/>
                  </pic:nvPicPr>
                  <pic:blipFill>
                    <a:blip r:embed="rId11" cstate="print"/>
                    <a:srcRect l="6538" r="10533"/>
                    <a:stretch>
                      <a:fillRect/>
                    </a:stretch>
                  </pic:blipFill>
                  <pic:spPr>
                    <a:xfrm>
                      <a:off x="0" y="0"/>
                      <a:ext cx="5149215" cy="3333750"/>
                    </a:xfrm>
                    <a:prstGeom prst="rect">
                      <a:avLst/>
                    </a:prstGeom>
                  </pic:spPr>
                </pic:pic>
              </a:graphicData>
            </a:graphic>
          </wp:inline>
        </w:drawing>
      </w:r>
      <w:bookmarkEnd w:id="0"/>
    </w:p>
    <w:sectPr>
      <w:footerReference r:id="rId4" w:type="default"/>
      <w:headerReference r:id="rId3" w:type="even"/>
      <w:type w:val="continuous"/>
      <w:pgSz w:w="11906" w:h="16838"/>
      <w:pgMar w:top="1440" w:right="1800" w:bottom="1440" w:left="1800" w:header="851" w:footer="992" w:gutter="0"/>
      <w:cols w:space="425"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HorizontalSpacing w:val="105"/>
  <w:drawingGridVerticalSpacing w:val="31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8"/>
    <w:rsid w:val="00590458"/>
    <w:rsid w:val="0074688B"/>
    <w:rsid w:val="009E76D5"/>
    <w:rsid w:val="09C45E39"/>
    <w:rsid w:val="221565AD"/>
    <w:rsid w:val="4BE1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3"/>
    <w:basedOn w:val="1"/>
    <w:next w:val="1"/>
    <w:qFormat/>
    <w:uiPriority w:val="9"/>
    <w:pPr>
      <w:spacing w:beforeAutospacing="1" w:afterAutospacing="1"/>
      <w:jc w:val="left"/>
      <w:outlineLvl w:val="2"/>
    </w:pPr>
    <w:rPr>
      <w:rFonts w:hint="eastAsia" w:ascii="宋体" w:hAnsi="宋体" w:cs="Times New Roman"/>
      <w:b/>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99"/>
    <w:rPr>
      <w:color w:val="0000FF"/>
      <w:u w:val="single"/>
    </w:rPr>
  </w:style>
  <w:style w:type="character" w:customStyle="1" w:styleId="12">
    <w:name w:val="页眉 字符"/>
    <w:basedOn w:val="9"/>
    <w:link w:val="6"/>
    <w:qFormat/>
    <w:uiPriority w:val="0"/>
    <w:rPr>
      <w:rFonts w:ascii="Calibri" w:hAnsi="Calibri" w:cs="宋体"/>
      <w:kern w:val="2"/>
      <w:sz w:val="18"/>
      <w:szCs w:val="18"/>
    </w:rPr>
  </w:style>
  <w:style w:type="character" w:customStyle="1" w:styleId="13">
    <w:name w:val="页脚 字符"/>
    <w:basedOn w:val="9"/>
    <w:link w:val="5"/>
    <w:qFormat/>
    <w:uiPriority w:val="0"/>
    <w:rPr>
      <w:rFonts w:ascii="Calibri" w:hAnsi="Calibri" w:cs="宋体"/>
      <w:kern w:val="2"/>
      <w:sz w:val="18"/>
      <w:szCs w:val="18"/>
    </w:rPr>
  </w:style>
  <w:style w:type="character" w:customStyle="1" w:styleId="14">
    <w:name w:val="批注框文本 字符"/>
    <w:basedOn w:val="9"/>
    <w:link w:val="4"/>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C1F72-26A3-4D2E-AFF0-5B6E30F637D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160</Words>
  <Characters>915</Characters>
  <Lines>7</Lines>
  <Paragraphs>2</Paragraphs>
  <TotalTime>3</TotalTime>
  <ScaleCrop>false</ScaleCrop>
  <LinksUpToDate>false</LinksUpToDate>
  <CharactersWithSpaces>1073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2019-10-17T07:53:00Z</dcterms:created>
  <dc:creator>Administrator</dc:creator>
  <cp:lastModifiedBy>初心</cp:lastModifiedBy>
  <cp:lastPrinted>2019-12-10T09:35:17Z</cp:lastPrinted>
  <dcterms:modified xsi:type="dcterms:W3CDTF">2019-12-10T09:55:42Z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